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4E" w:rsidRDefault="0091194E" w:rsidP="0091194E">
      <w:pPr>
        <w:jc w:val="center"/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E04"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01/</w:t>
      </w:r>
      <w:r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8E7E04"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/21 </w:t>
      </w:r>
    </w:p>
    <w:p w:rsidR="0091194E" w:rsidRDefault="0091194E" w:rsidP="0091194E">
      <w:pPr>
        <w:jc w:val="center"/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8D5"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souvislosti s onemocněním COVID-19 způsobeným virem SARS-CoV-2</w:t>
      </w:r>
    </w:p>
    <w:p w:rsidR="008B7258" w:rsidRDefault="008B7258" w:rsidP="0091194E">
      <w:pPr>
        <w:jc w:val="center"/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Antigenní testování</w:t>
      </w:r>
    </w:p>
    <w:p w:rsidR="0091194E" w:rsidRDefault="0091194E" w:rsidP="0091194E">
      <w:pPr>
        <w:jc w:val="center"/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194E" w:rsidRDefault="0091194E" w:rsidP="0091194E">
      <w:pPr>
        <w:jc w:val="center"/>
        <w:rPr>
          <w:rFonts w:eastAsia="Calibri"/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194E" w:rsidRPr="008B7258" w:rsidRDefault="0091194E" w:rsidP="0091194E">
      <w:pPr>
        <w:pBdr>
          <w:bottom w:val="single" w:sz="4" w:space="1" w:color="auto"/>
        </w:pBdr>
        <w:spacing w:after="0" w:line="240" w:lineRule="auto"/>
        <w:rPr>
          <w:b/>
          <w:sz w:val="16"/>
          <w:szCs w:val="16"/>
        </w:rPr>
      </w:pPr>
      <w:r w:rsidRPr="008B7258">
        <w:rPr>
          <w:b/>
          <w:sz w:val="16"/>
          <w:szCs w:val="16"/>
        </w:rPr>
        <w:t>Datum vydání: 25. 10. 2021</w:t>
      </w:r>
      <w:r w:rsidRPr="008B7258">
        <w:rPr>
          <w:b/>
          <w:sz w:val="16"/>
          <w:szCs w:val="16"/>
        </w:rPr>
        <w:tab/>
      </w:r>
      <w:r w:rsidRPr="008B7258">
        <w:rPr>
          <w:b/>
          <w:sz w:val="16"/>
          <w:szCs w:val="16"/>
        </w:rPr>
        <w:t xml:space="preserve">                                                                                       </w:t>
      </w:r>
      <w:r w:rsidRPr="008B7258">
        <w:rPr>
          <w:b/>
          <w:sz w:val="16"/>
          <w:szCs w:val="16"/>
        </w:rPr>
        <w:tab/>
      </w:r>
      <w:r w:rsidRPr="008B7258">
        <w:rPr>
          <w:b/>
          <w:sz w:val="16"/>
          <w:szCs w:val="16"/>
        </w:rPr>
        <w:tab/>
        <w:t xml:space="preserve">                             </w:t>
      </w:r>
      <w:r w:rsidRPr="008B7258">
        <w:rPr>
          <w:b/>
          <w:sz w:val="16"/>
          <w:szCs w:val="16"/>
        </w:rPr>
        <w:t xml:space="preserve">  </w:t>
      </w:r>
      <w:r w:rsidRPr="008B7258">
        <w:rPr>
          <w:b/>
          <w:sz w:val="16"/>
          <w:szCs w:val="16"/>
        </w:rPr>
        <w:t xml:space="preserve"> Účinnost: 1. 11. 2021</w:t>
      </w:r>
    </w:p>
    <w:p w:rsidR="0091194E" w:rsidRPr="008B7258" w:rsidRDefault="0091194E" w:rsidP="0091194E">
      <w:pPr>
        <w:pBdr>
          <w:bottom w:val="single" w:sz="4" w:space="1" w:color="auto"/>
        </w:pBdr>
        <w:spacing w:after="0" w:line="240" w:lineRule="auto"/>
        <w:rPr>
          <w:b/>
          <w:sz w:val="16"/>
          <w:szCs w:val="16"/>
        </w:rPr>
      </w:pPr>
      <w:r w:rsidRPr="008B7258">
        <w:rPr>
          <w:b/>
          <w:sz w:val="16"/>
          <w:szCs w:val="16"/>
        </w:rPr>
        <w:t xml:space="preserve">Datum vydání: </w:t>
      </w:r>
      <w:r w:rsidR="008B7258">
        <w:rPr>
          <w:b/>
          <w:sz w:val="16"/>
          <w:szCs w:val="16"/>
        </w:rPr>
        <w:t>4</w:t>
      </w:r>
      <w:r w:rsidRPr="008B7258">
        <w:rPr>
          <w:b/>
          <w:sz w:val="16"/>
          <w:szCs w:val="16"/>
        </w:rPr>
        <w:t>. 11. 2021</w:t>
      </w:r>
      <w:r w:rsidRPr="008B7258">
        <w:rPr>
          <w:b/>
          <w:sz w:val="16"/>
          <w:szCs w:val="16"/>
        </w:rPr>
        <w:tab/>
      </w:r>
      <w:r w:rsidRPr="008B7258">
        <w:rPr>
          <w:b/>
          <w:sz w:val="16"/>
          <w:szCs w:val="16"/>
        </w:rPr>
        <w:t xml:space="preserve">                                                </w:t>
      </w:r>
      <w:r w:rsidR="008B7258" w:rsidRPr="008B7258">
        <w:rPr>
          <w:b/>
          <w:sz w:val="16"/>
          <w:szCs w:val="16"/>
        </w:rPr>
        <w:t xml:space="preserve"> </w:t>
      </w:r>
      <w:r w:rsidRPr="008B7258">
        <w:rPr>
          <w:b/>
          <w:sz w:val="16"/>
          <w:szCs w:val="16"/>
        </w:rPr>
        <w:t xml:space="preserve">                              </w:t>
      </w:r>
      <w:r w:rsidRPr="008B7258">
        <w:rPr>
          <w:b/>
          <w:sz w:val="16"/>
          <w:szCs w:val="16"/>
        </w:rPr>
        <w:tab/>
      </w:r>
      <w:r w:rsidRPr="008B7258">
        <w:rPr>
          <w:b/>
          <w:sz w:val="16"/>
          <w:szCs w:val="16"/>
        </w:rPr>
        <w:tab/>
        <w:t xml:space="preserve">                               </w:t>
      </w:r>
      <w:r w:rsidRPr="008B7258">
        <w:rPr>
          <w:b/>
          <w:sz w:val="16"/>
          <w:szCs w:val="16"/>
        </w:rPr>
        <w:t xml:space="preserve"> </w:t>
      </w:r>
      <w:r w:rsidRPr="008B7258">
        <w:rPr>
          <w:b/>
          <w:sz w:val="16"/>
          <w:szCs w:val="16"/>
        </w:rPr>
        <w:t>Účinnost: dnem vydání</w:t>
      </w:r>
    </w:p>
    <w:p w:rsidR="0091194E" w:rsidRPr="009A0F76" w:rsidRDefault="0091194E" w:rsidP="0091194E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91194E" w:rsidRDefault="0091194E" w:rsidP="0091194E">
      <w:pPr>
        <w:pStyle w:val="Nadpis2"/>
        <w:keepLines/>
        <w:numPr>
          <w:ilvl w:val="0"/>
          <w:numId w:val="0"/>
        </w:numPr>
        <w:autoSpaceDE/>
        <w:autoSpaceDN/>
        <w:spacing w:before="200" w:after="120"/>
        <w:jc w:val="both"/>
        <w:rPr>
          <w:rFonts w:asciiTheme="minorHAnsi" w:hAnsiTheme="minorHAnsi" w:cstheme="minorHAnsi"/>
          <w:i w:val="0"/>
          <w:sz w:val="16"/>
          <w:szCs w:val="16"/>
        </w:rPr>
      </w:pPr>
    </w:p>
    <w:p w:rsidR="0091194E" w:rsidRPr="0091194E" w:rsidRDefault="0091194E" w:rsidP="0091194E">
      <w:pPr>
        <w:pStyle w:val="Nadpis2"/>
        <w:keepLines/>
        <w:numPr>
          <w:ilvl w:val="0"/>
          <w:numId w:val="0"/>
        </w:numPr>
        <w:autoSpaceDE/>
        <w:autoSpaceDN/>
        <w:spacing w:before="200" w:after="120"/>
        <w:jc w:val="both"/>
        <w:rPr>
          <w:rFonts w:asciiTheme="minorHAnsi" w:hAnsiTheme="minorHAnsi" w:cstheme="minorHAnsi"/>
          <w:i w:val="0"/>
          <w:sz w:val="16"/>
          <w:szCs w:val="16"/>
        </w:rPr>
      </w:pPr>
      <w:r w:rsidRPr="0091194E">
        <w:rPr>
          <w:rFonts w:asciiTheme="minorHAnsi" w:hAnsiTheme="minorHAnsi" w:cstheme="minorHAnsi"/>
          <w:i w:val="0"/>
          <w:sz w:val="16"/>
          <w:szCs w:val="16"/>
        </w:rPr>
        <w:t>Určeno poskytovatelům zdravotních služeb</w:t>
      </w:r>
    </w:p>
    <w:p w:rsidR="0091194E" w:rsidRPr="0091194E" w:rsidRDefault="0091194E" w:rsidP="0091194E">
      <w:pPr>
        <w:pStyle w:val="Default"/>
        <w:jc w:val="both"/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</w:rPr>
      </w:pPr>
      <w:r w:rsidRPr="0091194E">
        <w:rPr>
          <w:rStyle w:val="Hypertextovodkaz"/>
          <w:rFonts w:asciiTheme="minorHAnsi" w:hAnsiTheme="minorHAnsi" w:cstheme="minorHAnsi"/>
          <w:color w:val="auto"/>
          <w:sz w:val="16"/>
          <w:szCs w:val="16"/>
        </w:rPr>
        <w:t>Screeningové antigenní testování na žádost pojištěnce dle platného Mimořádného opatření MZ ČR</w:t>
      </w:r>
    </w:p>
    <w:p w:rsidR="0091194E" w:rsidRPr="0091194E" w:rsidRDefault="0091194E" w:rsidP="0091194E">
      <w:pPr>
        <w:pStyle w:val="Default"/>
        <w:jc w:val="both"/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</w:rPr>
      </w:pPr>
    </w:p>
    <w:p w:rsidR="0091194E" w:rsidRPr="0091194E" w:rsidRDefault="0091194E" w:rsidP="0091194E">
      <w:pPr>
        <w:spacing w:before="120"/>
        <w:rPr>
          <w:rFonts w:cstheme="minorHAnsi"/>
          <w:b/>
          <w:color w:val="ED7D31" w:themeColor="accent2"/>
          <w:sz w:val="20"/>
          <w:szCs w:val="20"/>
          <w:u w:val="single"/>
        </w:rPr>
      </w:pPr>
      <w:r w:rsidRPr="0091194E">
        <w:rPr>
          <w:rFonts w:cstheme="minorHAnsi"/>
          <w:b/>
          <w:color w:val="ED7D31" w:themeColor="accent2"/>
          <w:sz w:val="20"/>
          <w:szCs w:val="20"/>
          <w:u w:val="single"/>
        </w:rPr>
        <w:t>Úvod</w:t>
      </w:r>
    </w:p>
    <w:p w:rsidR="0091194E" w:rsidRPr="0091194E" w:rsidRDefault="0091194E" w:rsidP="0091194E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V návaznosti na Mimořádné opatření MZ ČR č. j. </w:t>
      </w:r>
      <w:hyperlink r:id="rId5" w:history="1">
        <w:r w:rsidRPr="0091194E">
          <w:rPr>
            <w:rStyle w:val="Hypertextovodkaz"/>
            <w:rFonts w:asciiTheme="minorHAnsi" w:eastAsiaTheme="minorHAnsi" w:hAnsiTheme="minorHAnsi" w:cstheme="minorHAnsi"/>
            <w:sz w:val="16"/>
            <w:szCs w:val="16"/>
            <w:lang w:eastAsia="en-US"/>
          </w:rPr>
          <w:t>MZDR 20029/2021-3/MIN/KAN</w:t>
        </w:r>
      </w:hyperlink>
      <w:r w:rsidRPr="0091194E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 ze dne 17. června 2021, kterým se s účinností ode dne 1. 7. 2021 </w:t>
      </w:r>
      <w:r w:rsidRPr="0091194E"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  <w:t xml:space="preserve">ruší </w:t>
      </w:r>
      <w:r w:rsidRPr="0091194E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Mimořádná opatření </w:t>
      </w:r>
      <w:r w:rsidRPr="0091194E">
        <w:rPr>
          <w:rFonts w:asciiTheme="minorHAnsi" w:hAnsiTheme="minorHAnsi" w:cstheme="minorHAnsi"/>
          <w:sz w:val="16"/>
          <w:szCs w:val="16"/>
        </w:rPr>
        <w:t xml:space="preserve">MZ ČR, která nařizovala povinné testování zaměstnanců a pacientů poskytovatelů dlouhodobé péče a domácí péče, zaměstnanců a klientů poskytovatelů sociálních služeb, zaměstnanců zaměstnavatelů, kteří jsou podnikatelem nebo státním nebo národním podnikem, veřejným zaměstnavatelem, nestátní neziskovou organizací, vydává </w:t>
      </w:r>
      <w:r w:rsidR="001923E7">
        <w:rPr>
          <w:rFonts w:asciiTheme="minorHAnsi" w:hAnsiTheme="minorHAnsi" w:cstheme="minorHAnsi"/>
          <w:sz w:val="16"/>
          <w:szCs w:val="16"/>
        </w:rPr>
        <w:t>ZPŠ</w:t>
      </w:r>
      <w:r w:rsidRPr="0091194E">
        <w:rPr>
          <w:rFonts w:asciiTheme="minorHAnsi" w:hAnsiTheme="minorHAnsi" w:cstheme="minorHAnsi"/>
          <w:sz w:val="16"/>
          <w:szCs w:val="16"/>
        </w:rPr>
        <w:t xml:space="preserve"> toto Organizační opatření </w:t>
      </w:r>
      <w:r w:rsidR="00EE5727">
        <w:rPr>
          <w:rFonts w:asciiTheme="minorHAnsi" w:hAnsiTheme="minorHAnsi" w:cstheme="minorHAnsi"/>
          <w:sz w:val="16"/>
          <w:szCs w:val="16"/>
        </w:rPr>
        <w:t xml:space="preserve">01/11/21 </w:t>
      </w:r>
      <w:r w:rsidRPr="0091194E">
        <w:rPr>
          <w:rFonts w:asciiTheme="minorHAnsi" w:hAnsiTheme="minorHAnsi" w:cstheme="minorHAnsi"/>
          <w:sz w:val="16"/>
          <w:szCs w:val="16"/>
        </w:rPr>
        <w:t>upravující problematiku screeningového antigenního testování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1194E">
        <w:rPr>
          <w:rFonts w:asciiTheme="minorHAnsi" w:hAnsiTheme="minorHAnsi" w:cstheme="minorHAnsi"/>
          <w:sz w:val="16"/>
          <w:szCs w:val="16"/>
        </w:rPr>
        <w:t>osob, které jsou účastny veřejného zdravotního pojištění a které jsou oprávněny požádat o provedení screeningového antigenního testu dle příslušného Mimořádného opatření MZ ČR</w:t>
      </w:r>
      <w:r w:rsidRPr="0091194E">
        <w:rPr>
          <w:rFonts w:asciiTheme="minorHAnsi" w:hAnsiTheme="minorHAnsi" w:cstheme="minorHAnsi"/>
          <w:b/>
          <w:sz w:val="16"/>
          <w:szCs w:val="16"/>
        </w:rPr>
        <w:t>.</w:t>
      </w:r>
    </w:p>
    <w:p w:rsidR="00EE5727" w:rsidRPr="00EE5727" w:rsidRDefault="0091194E" w:rsidP="0091194E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EE5727">
        <w:rPr>
          <w:rFonts w:asciiTheme="minorHAnsi" w:hAnsiTheme="minorHAnsi" w:cstheme="minorHAnsi"/>
          <w:sz w:val="16"/>
          <w:szCs w:val="16"/>
        </w:rPr>
        <w:t xml:space="preserve">Toto </w:t>
      </w:r>
      <w:r w:rsidRPr="00EE5727">
        <w:rPr>
          <w:rFonts w:asciiTheme="minorHAnsi" w:hAnsiTheme="minorHAnsi" w:cstheme="minorHAnsi"/>
          <w:bCs/>
          <w:sz w:val="16"/>
          <w:szCs w:val="16"/>
        </w:rPr>
        <w:t xml:space="preserve">Organizační opatření </w:t>
      </w:r>
      <w:r w:rsidR="001923E7" w:rsidRPr="00EE5727">
        <w:rPr>
          <w:rFonts w:asciiTheme="minorHAnsi" w:hAnsiTheme="minorHAnsi" w:cstheme="minorHAnsi"/>
          <w:bCs/>
          <w:sz w:val="16"/>
          <w:szCs w:val="16"/>
        </w:rPr>
        <w:t>ZPŠ</w:t>
      </w:r>
      <w:r w:rsidRPr="00EE5727">
        <w:rPr>
          <w:rFonts w:asciiTheme="minorHAnsi" w:hAnsiTheme="minorHAnsi" w:cstheme="minorHAnsi"/>
          <w:bCs/>
          <w:sz w:val="16"/>
          <w:szCs w:val="16"/>
        </w:rPr>
        <w:t xml:space="preserve"> ČR </w:t>
      </w:r>
      <w:r w:rsidRPr="00EE5727">
        <w:rPr>
          <w:rFonts w:asciiTheme="minorHAnsi" w:hAnsiTheme="minorHAnsi" w:cstheme="minorHAnsi"/>
          <w:b/>
          <w:bCs/>
          <w:sz w:val="16"/>
          <w:szCs w:val="16"/>
        </w:rPr>
        <w:t xml:space="preserve">nahrazuje </w:t>
      </w:r>
      <w:r w:rsidRPr="00EE5727">
        <w:rPr>
          <w:rFonts w:asciiTheme="minorHAnsi" w:hAnsiTheme="minorHAnsi" w:cstheme="minorHAnsi"/>
          <w:bCs/>
          <w:sz w:val="16"/>
          <w:szCs w:val="16"/>
        </w:rPr>
        <w:t xml:space="preserve">Organizační opatření </w:t>
      </w:r>
      <w:r w:rsidR="001923E7" w:rsidRPr="00EE5727">
        <w:rPr>
          <w:rFonts w:asciiTheme="minorHAnsi" w:hAnsiTheme="minorHAnsi" w:cstheme="minorHAnsi"/>
          <w:bCs/>
          <w:sz w:val="16"/>
          <w:szCs w:val="16"/>
        </w:rPr>
        <w:t>ZPŠ</w:t>
      </w:r>
      <w:r w:rsidRPr="00EE572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E5727" w:rsidRPr="00EE5727">
        <w:rPr>
          <w:rFonts w:asciiTheme="minorHAnsi" w:hAnsiTheme="minorHAnsi" w:cstheme="minorHAnsi"/>
          <w:bCs/>
          <w:sz w:val="16"/>
          <w:szCs w:val="16"/>
        </w:rPr>
        <w:t>01/06/24</w:t>
      </w:r>
      <w:r w:rsidRPr="00EE5727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91194E" w:rsidRPr="00EE5727" w:rsidRDefault="0091194E" w:rsidP="0091194E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EE5727">
        <w:rPr>
          <w:rFonts w:asciiTheme="minorHAnsi" w:hAnsiTheme="minorHAnsi" w:cstheme="minorHAnsi"/>
          <w:sz w:val="16"/>
          <w:szCs w:val="16"/>
        </w:rPr>
        <w:t xml:space="preserve">Dobrovolné screeningové antigenní testování prostřednictvím antigenních testů je prováděno s účinností od 1. 11. 2021 u osob uvedených v odst. 4), které jsou účastny veřejného zdravotního pojištění v ČR a je v souladu s aktuálně účinným Mimořádným opatřením MZ ČR prováděno na žádost pojištěnce </w:t>
      </w:r>
      <w:r w:rsidRPr="00EE5727">
        <w:rPr>
          <w:rFonts w:asciiTheme="minorHAnsi" w:hAnsiTheme="minorHAnsi" w:cstheme="minorHAnsi"/>
          <w:b/>
          <w:sz w:val="16"/>
          <w:szCs w:val="16"/>
          <w:u w:val="single"/>
        </w:rPr>
        <w:t>nejvýše jedenkrát za 7 dnů.</w:t>
      </w:r>
    </w:p>
    <w:p w:rsidR="0091194E" w:rsidRPr="0091194E" w:rsidRDefault="0091194E" w:rsidP="0091194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Osobami, kterým se provádí níže uvedené screeningové antigenní testování na jejich žádost, jsou dle aktuálně účinného Mimořádného opatření MZ ČR: </w:t>
      </w:r>
    </w:p>
    <w:p w:rsidR="0091194E" w:rsidRPr="0091194E" w:rsidRDefault="0091194E" w:rsidP="0091194E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osoby do dovršení 18 let věku, </w:t>
      </w:r>
    </w:p>
    <w:p w:rsidR="0091194E" w:rsidRPr="0091194E" w:rsidRDefault="0091194E" w:rsidP="0091194E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osoby, které se nemohou očkování proti onemocnění COVID-19 podrobit pro kontraindikaci; tuto skutečnost jsou povinny poskytovateli zdravotních nebo sociálních služeb, který provádí vyšetření, prokázat lékařskou zprávou obsahující výslovné uvedení informace o tom, že osoba se nemůže ze zdravotních důvodů očkování proti onemocnění covid-19 podrobit, pokud tato skutečnost není uvedena v Informačním systému infekčních nemocí (ISIN), </w:t>
      </w:r>
    </w:p>
    <w:p w:rsidR="0091194E" w:rsidRPr="0091194E" w:rsidRDefault="0091194E" w:rsidP="0091194E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osoby očkované proti onemocnění COVID-19 alespoň jednou dávkou očkovací látky; tuto skutečnost jsou povinny poskytovateli zdravotních nebo sociálních služeb, který provádí vyšetření, prokázat.</w:t>
      </w:r>
    </w:p>
    <w:p w:rsidR="0091194E" w:rsidRPr="0091194E" w:rsidRDefault="0091194E" w:rsidP="0091194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1194E">
        <w:rPr>
          <w:rFonts w:cstheme="minorHAnsi"/>
          <w:b/>
          <w:sz w:val="16"/>
          <w:szCs w:val="16"/>
        </w:rPr>
        <w:t xml:space="preserve">V případě screeningového antigenního testování osoby, která se nemůže očkování proti onemocnění COVID-19 podrobit pro kontraindikaci, je poskytovatel zdravotních služeb provádějící toto testování povinen v případě, že tato skutečnost není uvedena v ISIN, uchovat pro potřeby následné kontroly ze strany zdravotní pojišťovny lékařskou zprávu či její kopii předloženou pojištěncem. 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1194E">
        <w:rPr>
          <w:rFonts w:cstheme="minorHAnsi"/>
          <w:b/>
          <w:sz w:val="16"/>
          <w:szCs w:val="16"/>
        </w:rPr>
        <w:t>Seznam kontraindikací je uveden tak jako u každé očkovací látky v Souhrnu údajů o léčivém přípravku (SPC).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b/>
          <w:color w:val="ED7D31" w:themeColor="accent2"/>
          <w:sz w:val="20"/>
          <w:szCs w:val="20"/>
          <w:u w:val="single"/>
        </w:rPr>
      </w:pPr>
      <w:r w:rsidRPr="0091194E">
        <w:rPr>
          <w:rFonts w:cstheme="minorHAnsi"/>
          <w:b/>
          <w:color w:val="ED7D31" w:themeColor="accent2"/>
          <w:sz w:val="20"/>
          <w:szCs w:val="20"/>
          <w:u w:val="single"/>
        </w:rPr>
        <w:t>I. Vykazování screeningového antigenního testování dle platného Mimořádného opatření MZ ČR</w:t>
      </w:r>
    </w:p>
    <w:p w:rsidR="0091194E" w:rsidRPr="0091194E" w:rsidRDefault="0091194E" w:rsidP="0091194E">
      <w:pPr>
        <w:pStyle w:val="Prosttext"/>
        <w:ind w:left="284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91194E" w:rsidRPr="0091194E" w:rsidRDefault="0091194E" w:rsidP="0091194E">
      <w:pPr>
        <w:pStyle w:val="Prosttex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91194E">
        <w:rPr>
          <w:rFonts w:asciiTheme="minorHAnsi" w:hAnsiTheme="minorHAnsi" w:cstheme="minorHAnsi"/>
          <w:b/>
          <w:bCs/>
          <w:sz w:val="16"/>
          <w:szCs w:val="16"/>
          <w:u w:val="single"/>
        </w:rPr>
        <w:t>Antigenní testy</w:t>
      </w:r>
    </w:p>
    <w:p w:rsidR="0091194E" w:rsidRPr="0091194E" w:rsidRDefault="0091194E" w:rsidP="0091194E">
      <w:pPr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 xml:space="preserve">Antigenní testy pro detekci antigenu SARS-CoV-2 musí mít CE IVD certifikaci a současně deklarovanou citlivost nejméně 90 % a specificitu nejméně 97 %. Odběr biologického materiálu musí být prováděn zdravotnickým pracovníkem. </w:t>
      </w:r>
    </w:p>
    <w:p w:rsidR="0091194E" w:rsidRPr="0091194E" w:rsidRDefault="0091194E" w:rsidP="0091194E">
      <w:pPr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>Nákup antigenních testů si zajišťují příslušní poskytovatelé zdravotních služeb nebo poskytovatelé sociálních služeb. Poskytovatel je povinen pro případnou kontrolu zdravotní pojišťovny archivovat doklady o nákupu testu a doklad o tom, že při testování byla použita testovací sada splňující uvedená kvalitativní kritéria.</w:t>
      </w:r>
    </w:p>
    <w:p w:rsidR="0091194E" w:rsidRPr="0091194E" w:rsidRDefault="0091194E" w:rsidP="0091194E">
      <w:pPr>
        <w:pStyle w:val="Prosttex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91194E">
        <w:rPr>
          <w:rFonts w:asciiTheme="minorHAnsi" w:hAnsiTheme="minorHAnsi" w:cstheme="minorHAnsi"/>
          <w:b/>
          <w:bCs/>
          <w:sz w:val="16"/>
          <w:szCs w:val="16"/>
          <w:u w:val="single"/>
        </w:rPr>
        <w:t>Zdravotní výkon pro antigenní testování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 xml:space="preserve">Vyšetření průkazu antigenu SARS-CoV-2 bude v rámci antigenního testování vykazováno prostřednictvím </w:t>
      </w:r>
      <w:r w:rsidR="001923E7">
        <w:rPr>
          <w:rFonts w:cstheme="minorHAnsi"/>
          <w:sz w:val="16"/>
          <w:szCs w:val="16"/>
        </w:rPr>
        <w:t>ZPŠ</w:t>
      </w:r>
      <w:r w:rsidRPr="0091194E">
        <w:rPr>
          <w:rFonts w:cstheme="minorHAnsi"/>
          <w:sz w:val="16"/>
          <w:szCs w:val="16"/>
        </w:rPr>
        <w:t xml:space="preserve"> výkonu: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pStyle w:val="Odstavecseseznamem"/>
        <w:numPr>
          <w:ilvl w:val="0"/>
          <w:numId w:val="2"/>
        </w:numPr>
        <w:ind w:left="709" w:hanging="349"/>
        <w:jc w:val="both"/>
        <w:rPr>
          <w:rFonts w:asciiTheme="minorHAnsi" w:hAnsiTheme="minorHAnsi" w:cstheme="minorHAnsi"/>
          <w:b/>
          <w:i/>
          <w:color w:val="FF0000"/>
          <w:sz w:val="16"/>
          <w:szCs w:val="16"/>
        </w:rPr>
      </w:pPr>
      <w:r w:rsidRPr="0091194E">
        <w:rPr>
          <w:rFonts w:asciiTheme="minorHAnsi" w:hAnsiTheme="minorHAnsi" w:cstheme="minorHAnsi"/>
          <w:b/>
          <w:bCs/>
          <w:i/>
          <w:color w:val="000000"/>
          <w:sz w:val="16"/>
          <w:szCs w:val="16"/>
        </w:rPr>
        <w:t>99949</w:t>
      </w:r>
      <w:r w:rsidRPr="0091194E">
        <w:rPr>
          <w:rFonts w:asciiTheme="minorHAnsi" w:hAnsiTheme="minorHAnsi" w:cstheme="minorHAnsi"/>
          <w:b/>
          <w:i/>
          <w:color w:val="000000"/>
          <w:sz w:val="16"/>
          <w:szCs w:val="16"/>
        </w:rPr>
        <w:t xml:space="preserve"> - (VZP) PRŮKAZ ANTIGENU </w:t>
      </w:r>
      <w:r w:rsidRPr="0091194E">
        <w:rPr>
          <w:rFonts w:asciiTheme="minorHAnsi" w:hAnsiTheme="minorHAnsi" w:cstheme="minorHAnsi"/>
          <w:b/>
          <w:i/>
          <w:sz w:val="16"/>
          <w:szCs w:val="16"/>
        </w:rPr>
        <w:t>SARS-CoV-2 REALIZOVANÝ V RÁMCI PLOŠNÉHO TESTOVÁNÍ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91194E">
        <w:rPr>
          <w:rFonts w:cstheme="minorHAnsi"/>
          <w:b/>
          <w:sz w:val="16"/>
          <w:szCs w:val="16"/>
        </w:rPr>
        <w:lastRenderedPageBreak/>
        <w:t xml:space="preserve">Podrobnosti výkonu:  </w:t>
      </w:r>
    </w:p>
    <w:p w:rsidR="0091194E" w:rsidRPr="0091194E" w:rsidRDefault="0091194E" w:rsidP="0091194E">
      <w:pPr>
        <w:spacing w:after="0"/>
        <w:jc w:val="both"/>
        <w:rPr>
          <w:rFonts w:cstheme="minorHAnsi"/>
          <w:strike/>
          <w:sz w:val="16"/>
          <w:szCs w:val="16"/>
        </w:rPr>
      </w:pPr>
      <w:r w:rsidRPr="0091194E">
        <w:rPr>
          <w:rFonts w:cstheme="minorHAnsi"/>
          <w:sz w:val="16"/>
          <w:szCs w:val="16"/>
        </w:rPr>
        <w:t>OHODNOCENÍ: 201 Kč</w:t>
      </w:r>
    </w:p>
    <w:p w:rsidR="0091194E" w:rsidRPr="0091194E" w:rsidRDefault="0091194E" w:rsidP="0091194E">
      <w:pPr>
        <w:spacing w:after="0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 xml:space="preserve">FREKVENCE: </w:t>
      </w:r>
      <w:bookmarkStart w:id="0" w:name="_Hlk73342129"/>
      <w:r w:rsidRPr="0091194E">
        <w:rPr>
          <w:rFonts w:cstheme="minorHAnsi"/>
          <w:sz w:val="16"/>
          <w:szCs w:val="16"/>
        </w:rPr>
        <w:t>v souladu s platným Mimořádným opatřením MZ ČR</w:t>
      </w:r>
      <w:bookmarkEnd w:id="0"/>
    </w:p>
    <w:p w:rsidR="0091194E" w:rsidRPr="0091194E" w:rsidRDefault="0091194E" w:rsidP="0091194E">
      <w:pPr>
        <w:spacing w:after="0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>PLATNOST OD: v souladu s platným Mimořádným opatřením MZ ČR</w:t>
      </w:r>
    </w:p>
    <w:p w:rsidR="0091194E" w:rsidRPr="0091194E" w:rsidRDefault="0091194E" w:rsidP="0091194E">
      <w:pPr>
        <w:spacing w:after="0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>PLATNOST DO: v souladu s platným Mimořádným opatřením MZ ČR</w:t>
      </w:r>
    </w:p>
    <w:p w:rsidR="0091194E" w:rsidRPr="0091194E" w:rsidRDefault="0091194E" w:rsidP="0091194E">
      <w:pPr>
        <w:pStyle w:val="Odstavecseseznamem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PODMÍNKY: výkon určen pro realizaci antigenního testování fyzických osob v souladu s MO MZ ČR, k výkonu se nevykazuje žádný další zdravotní výkon; </w:t>
      </w:r>
      <w:bookmarkStart w:id="1" w:name="_Hlk70493591"/>
      <w:r w:rsidRPr="0091194E">
        <w:rPr>
          <w:rFonts w:asciiTheme="minorHAnsi" w:hAnsiTheme="minorHAnsi" w:cstheme="minorHAnsi"/>
          <w:sz w:val="16"/>
          <w:szCs w:val="16"/>
        </w:rPr>
        <w:t>ve výkonu jsou zakalkulovány kompletní činnosti zdravotnického pracovníka a veškerý spotřebovaný materiál (test, OOP). V</w:t>
      </w:r>
      <w:r w:rsidRPr="0091194E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ýkon </w:t>
      </w:r>
      <w:r w:rsidRPr="0091194E">
        <w:rPr>
          <w:rFonts w:asciiTheme="minorHAnsi" w:hAnsiTheme="minorHAnsi" w:cstheme="minorHAnsi"/>
          <w:sz w:val="16"/>
          <w:szCs w:val="16"/>
        </w:rPr>
        <w:t xml:space="preserve">obsahuje kompletní činnosti realizované v rámci provádění výkonu, kterými jsou odběr biologického materiálu </w:t>
      </w:r>
      <w:bookmarkStart w:id="2" w:name="_Hlk73342144"/>
      <w:r w:rsidRPr="0091194E">
        <w:rPr>
          <w:rFonts w:asciiTheme="minorHAnsi" w:hAnsiTheme="minorHAnsi" w:cstheme="minorHAnsi"/>
          <w:sz w:val="16"/>
          <w:szCs w:val="16"/>
        </w:rPr>
        <w:t>(ze vzorku výtěru z nosohltanu, případně jiného způsobu odběru biologického materiálu podle specifikace výrobce)</w:t>
      </w:r>
      <w:bookmarkEnd w:id="2"/>
      <w:r w:rsidRPr="0091194E">
        <w:rPr>
          <w:rFonts w:asciiTheme="minorHAnsi" w:hAnsiTheme="minorHAnsi" w:cstheme="minorHAnsi"/>
          <w:sz w:val="16"/>
          <w:szCs w:val="16"/>
        </w:rPr>
        <w:t xml:space="preserve">, zpracování vzorku, testovací sada – antigenní test, vyhodnocení testu, osobní ochranné prostředky, zápis do ISIN, </w:t>
      </w:r>
      <w:bookmarkStart w:id="3" w:name="_Hlk73342155"/>
      <w:r w:rsidRPr="0091194E">
        <w:rPr>
          <w:rFonts w:asciiTheme="minorHAnsi" w:hAnsiTheme="minorHAnsi" w:cstheme="minorHAnsi"/>
          <w:sz w:val="16"/>
          <w:szCs w:val="16"/>
        </w:rPr>
        <w:t xml:space="preserve">zpráva pro testovaného informující o výsledku testu. </w:t>
      </w:r>
    </w:p>
    <w:bookmarkEnd w:id="1"/>
    <w:bookmarkEnd w:id="3"/>
    <w:p w:rsidR="0091194E" w:rsidRPr="0091194E" w:rsidRDefault="0091194E" w:rsidP="0091194E">
      <w:pPr>
        <w:pStyle w:val="Prosttext"/>
        <w:jc w:val="both"/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</w:pP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b/>
          <w:color w:val="ED7D31" w:themeColor="accent2"/>
          <w:sz w:val="20"/>
          <w:szCs w:val="20"/>
          <w:u w:val="single"/>
        </w:rPr>
      </w:pPr>
      <w:r w:rsidRPr="0091194E">
        <w:rPr>
          <w:rFonts w:cstheme="minorHAnsi"/>
          <w:b/>
          <w:color w:val="ED7D31" w:themeColor="accent2"/>
          <w:sz w:val="20"/>
          <w:szCs w:val="20"/>
          <w:u w:val="single"/>
        </w:rPr>
        <w:t>II. Garantovaná síť antigenních odběrových center</w:t>
      </w:r>
    </w:p>
    <w:p w:rsidR="0091194E" w:rsidRPr="0091194E" w:rsidRDefault="0091194E" w:rsidP="0091194E">
      <w:pPr>
        <w:pStyle w:val="Prosttext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91194E" w:rsidRPr="0091194E" w:rsidRDefault="0091194E" w:rsidP="0091194E">
      <w:pPr>
        <w:pStyle w:val="Prosttext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Dobrovolné screeningové antigenní testování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1194E">
        <w:rPr>
          <w:rFonts w:asciiTheme="minorHAnsi" w:hAnsiTheme="minorHAnsi" w:cstheme="minorHAnsi"/>
          <w:sz w:val="16"/>
          <w:szCs w:val="16"/>
        </w:rPr>
        <w:t>prostřednictvím antigenních testů je prováděno následujícími poskytovateli</w:t>
      </w:r>
    </w:p>
    <w:p w:rsidR="0091194E" w:rsidRPr="0091194E" w:rsidRDefault="0091194E" w:rsidP="0091194E">
      <w:pPr>
        <w:pStyle w:val="Prosttext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91194E" w:rsidRPr="0091194E" w:rsidRDefault="0091194E" w:rsidP="0091194E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1194E">
        <w:rPr>
          <w:rFonts w:asciiTheme="minorHAnsi" w:hAnsiTheme="minorHAnsi" w:cstheme="minorHAnsi"/>
          <w:b/>
          <w:sz w:val="16"/>
          <w:szCs w:val="16"/>
        </w:rPr>
        <w:t>Síť antigenních odběrových center – AOC – odb. 958</w:t>
      </w:r>
    </w:p>
    <w:p w:rsidR="0091194E" w:rsidRPr="0091194E" w:rsidRDefault="0091194E" w:rsidP="0091194E">
      <w:pPr>
        <w:spacing w:after="120" w:line="240" w:lineRule="auto"/>
        <w:ind w:firstLine="284"/>
        <w:rPr>
          <w:rFonts w:cstheme="minorHAnsi"/>
          <w:b/>
          <w:sz w:val="16"/>
          <w:szCs w:val="16"/>
        </w:rPr>
      </w:pPr>
      <w:r w:rsidRPr="0091194E">
        <w:rPr>
          <w:rFonts w:cstheme="minorHAnsi"/>
          <w:sz w:val="16"/>
          <w:szCs w:val="16"/>
        </w:rPr>
        <w:t>Garantovanou síť antigenních odběrových center – AOC tvoří:</w:t>
      </w:r>
    </w:p>
    <w:p w:rsidR="0091194E" w:rsidRPr="0091194E" w:rsidRDefault="0091194E" w:rsidP="0091194E">
      <w:pPr>
        <w:pStyle w:val="Odstavecseseznamem"/>
        <w:numPr>
          <w:ilvl w:val="1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stávající poskytovatelé s nasmlouvanou odborností </w:t>
      </w:r>
      <w:r w:rsidRPr="0091194E">
        <w:rPr>
          <w:rFonts w:asciiTheme="minorHAnsi" w:hAnsiTheme="minorHAnsi" w:cstheme="minorHAnsi"/>
          <w:b/>
          <w:sz w:val="16"/>
          <w:szCs w:val="16"/>
        </w:rPr>
        <w:t>955 – odběrové centrum</w:t>
      </w:r>
      <w:r w:rsidRPr="0091194E">
        <w:rPr>
          <w:rFonts w:asciiTheme="minorHAnsi" w:hAnsiTheme="minorHAnsi" w:cstheme="minorHAnsi"/>
          <w:sz w:val="16"/>
          <w:szCs w:val="16"/>
        </w:rPr>
        <w:t>, kterým byla nasmlouvána odbornost 958 – antigenní odběrové centrum</w:t>
      </w:r>
    </w:p>
    <w:p w:rsidR="0091194E" w:rsidRPr="0091194E" w:rsidRDefault="0091194E" w:rsidP="0091194E">
      <w:pPr>
        <w:pStyle w:val="Odstavecseseznamem"/>
        <w:numPr>
          <w:ilvl w:val="1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stávající poskytovatelé s nasmlouvanou odborností </w:t>
      </w:r>
      <w:r w:rsidRPr="0091194E">
        <w:rPr>
          <w:rFonts w:asciiTheme="minorHAnsi" w:hAnsiTheme="minorHAnsi" w:cstheme="minorHAnsi"/>
          <w:b/>
          <w:sz w:val="16"/>
          <w:szCs w:val="16"/>
        </w:rPr>
        <w:t>957 – odběrové místo</w:t>
      </w:r>
      <w:r w:rsidRPr="0091194E">
        <w:rPr>
          <w:rFonts w:asciiTheme="minorHAnsi" w:hAnsiTheme="minorHAnsi" w:cstheme="minorHAnsi"/>
          <w:sz w:val="16"/>
          <w:szCs w:val="16"/>
        </w:rPr>
        <w:t>, kterým byla nasmlouvána odbornost 958 – antigenní odběrové centrum</w:t>
      </w:r>
    </w:p>
    <w:p w:rsidR="0091194E" w:rsidRPr="0091194E" w:rsidRDefault="0091194E" w:rsidP="0091194E">
      <w:pPr>
        <w:pStyle w:val="Odstavecseseznamem"/>
        <w:numPr>
          <w:ilvl w:val="1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stávající poskytovatelé s nasmlouvanou odborností </w:t>
      </w:r>
      <w:r w:rsidRPr="0091194E">
        <w:rPr>
          <w:rFonts w:asciiTheme="minorHAnsi" w:hAnsiTheme="minorHAnsi" w:cstheme="minorHAnsi"/>
          <w:b/>
          <w:sz w:val="16"/>
          <w:szCs w:val="16"/>
        </w:rPr>
        <w:t>958 – antigenní odběrové centrum</w:t>
      </w:r>
      <w:r w:rsidRPr="0091194E">
        <w:rPr>
          <w:rFonts w:asciiTheme="minorHAnsi" w:hAnsiTheme="minorHAnsi" w:cstheme="minorHAnsi"/>
          <w:sz w:val="16"/>
          <w:szCs w:val="16"/>
        </w:rPr>
        <w:t>.</w:t>
      </w:r>
    </w:p>
    <w:p w:rsidR="0091194E" w:rsidRPr="0091194E" w:rsidRDefault="0091194E" w:rsidP="0091194E">
      <w:pPr>
        <w:spacing w:after="0" w:line="240" w:lineRule="auto"/>
        <w:rPr>
          <w:rFonts w:cstheme="minorHAnsi"/>
          <w:sz w:val="16"/>
          <w:szCs w:val="16"/>
          <w:u w:val="single"/>
        </w:rPr>
      </w:pPr>
    </w:p>
    <w:p w:rsidR="0091194E" w:rsidRPr="0091194E" w:rsidRDefault="0091194E" w:rsidP="0091194E">
      <w:pPr>
        <w:spacing w:after="0" w:line="240" w:lineRule="auto"/>
        <w:ind w:left="349"/>
        <w:rPr>
          <w:rFonts w:cstheme="minorHAnsi"/>
          <w:sz w:val="16"/>
          <w:szCs w:val="16"/>
          <w:u w:val="single"/>
        </w:rPr>
      </w:pPr>
      <w:r w:rsidRPr="0091194E">
        <w:rPr>
          <w:rFonts w:cstheme="minorHAnsi"/>
          <w:sz w:val="16"/>
          <w:szCs w:val="16"/>
          <w:u w:val="single"/>
        </w:rPr>
        <w:t>Podmínky pro nově zřízené samostatné (stacionární) pracoviště – antigenní odběrové centrum – AOC odb. 958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poskytovatel zdravotních služeb, který splní níže uvedené podmínky a je mu přiřazena na základě žádosti odbornost 958;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trike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provozní doba: 3 dny v týdnu, 4 hodiny denně;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přítomnost zdravotnického pracovníka realizujícího odběr biologického materiálu;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AOC zajistí funkční rezervační systém pro objednání pacientů na antigenní test;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poskytovatel má AOC řádně označené a je vytvořen bezpečností koridor pro pacienty přicházejí k odběru a vyšetření;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AOC má oddělený provoz (prostorově nebo časově) pro provedení odběru a následné sdělení výsledků;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při odběru vzorku budou dodržena stejná bezpečnostní opatření jako v případě odběru pro PCR;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test musí být proveden s co nejmenší́ časovou ztrátou mezi odběrem biologického materiálu a vlastním testem;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zajištění skladovacích prostor pro antigenní testy (nutno zajistit dodržení teploty dle doporučení výrobce testů);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AOC bude vybaveno PC s připojením k internetu;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AOC bude napojeno na elektronické nástroje Chytré karantény pod správou MZ ČR (ISIN) a bude naplňovat všechny povinná a jednotná hlášení;</w:t>
      </w:r>
    </w:p>
    <w:p w:rsidR="0091194E" w:rsidRPr="0091194E" w:rsidRDefault="0091194E" w:rsidP="0091194E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91194E">
        <w:rPr>
          <w:rFonts w:asciiTheme="minorHAnsi" w:hAnsiTheme="minorHAnsi" w:cstheme="minorHAnsi"/>
          <w:sz w:val="16"/>
          <w:szCs w:val="16"/>
        </w:rPr>
        <w:t>poskytovatel bude vyvíjet svoji činnost v souladu s algoritmy testování, Mimořádnými opatřeními MZ ČR a platnou verzí Národní strategie testování nemoci COVID-19</w:t>
      </w:r>
    </w:p>
    <w:p w:rsidR="0091194E" w:rsidRPr="0091194E" w:rsidRDefault="0091194E" w:rsidP="0091194E">
      <w:pPr>
        <w:spacing w:after="0" w:line="240" w:lineRule="auto"/>
        <w:ind w:left="349"/>
        <w:jc w:val="both"/>
        <w:rPr>
          <w:rFonts w:cstheme="minorHAnsi"/>
          <w:sz w:val="16"/>
          <w:szCs w:val="16"/>
          <w:highlight w:val="yellow"/>
        </w:rPr>
      </w:pPr>
    </w:p>
    <w:p w:rsidR="0091194E" w:rsidRPr="0091194E" w:rsidRDefault="0091194E" w:rsidP="0091194E">
      <w:pPr>
        <w:spacing w:after="0" w:line="240" w:lineRule="auto"/>
        <w:ind w:left="349"/>
        <w:jc w:val="both"/>
        <w:rPr>
          <w:rFonts w:cstheme="minorHAnsi"/>
          <w:sz w:val="16"/>
          <w:szCs w:val="16"/>
          <w:u w:val="single"/>
        </w:rPr>
      </w:pPr>
      <w:r w:rsidRPr="0091194E">
        <w:rPr>
          <w:rFonts w:cstheme="minorHAnsi"/>
          <w:sz w:val="16"/>
          <w:szCs w:val="16"/>
        </w:rPr>
        <w:t>S ohledem na realizaci Národní strategie testování na onemocnění COVID-19 a vybudování dostatečných kapacit odběrových center/míst, potřebě koncentrace a udržování stávajících kapacit ve všech regionech, nebude stávající síť odběrových center/míst (pracovišť – IČP odbornosti 955/957/958) dále doplňována o další odběrová centra/místa (pracoviště) nesmluvních poskytovatelů zdravotních služeb nad rámec stavu ke dni účinnosti tohoto organizačního opatření.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trike/>
          <w:sz w:val="16"/>
          <w:szCs w:val="16"/>
        </w:rPr>
      </w:pPr>
    </w:p>
    <w:p w:rsidR="0091194E" w:rsidRPr="0091194E" w:rsidRDefault="0091194E" w:rsidP="0091194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b/>
          <w:sz w:val="16"/>
          <w:szCs w:val="16"/>
        </w:rPr>
        <w:t>Sekundární síť</w:t>
      </w:r>
      <w:r w:rsidRPr="0091194E">
        <w:rPr>
          <w:rFonts w:asciiTheme="minorHAnsi" w:hAnsiTheme="minorHAnsi" w:cstheme="minorHAnsi"/>
          <w:sz w:val="16"/>
          <w:szCs w:val="16"/>
        </w:rPr>
        <w:t xml:space="preserve"> poskytovatelů zdravotních služeb doplňujících garantovanou síť AOC odb. 958 tvoří všichni smluvní i nesmluvní poskytovatelé zdravotních služeb</w:t>
      </w:r>
      <w:r w:rsidRPr="0091194E">
        <w:rPr>
          <w:rFonts w:asciiTheme="minorHAnsi" w:hAnsiTheme="minorHAnsi" w:cstheme="minorHAnsi"/>
          <w:b/>
          <w:sz w:val="16"/>
          <w:szCs w:val="16"/>
        </w:rPr>
        <w:t>: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kteří mají zájem podílet se na plošném testování osob dle výše uvedených Mimořádných opatření MZ ČR,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kteří jsou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1194E">
        <w:rPr>
          <w:rFonts w:asciiTheme="minorHAnsi" w:hAnsiTheme="minorHAnsi" w:cstheme="minorHAnsi"/>
          <w:sz w:val="16"/>
          <w:szCs w:val="16"/>
        </w:rPr>
        <w:t>napojení na elektronické nástroje Chytré karantény pod správou MZ ČR (ISIN) a plní všechna povinná a jednotná hlášení,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kteří zajistí testování prostřednictvím antigenního testu zdravotnickým pracovníkem ve svých ordinacích (praktičtí lékaři, ambulantní specialisté, zubní lékaři a další poskytovatelé provádějící testování).</w:t>
      </w:r>
    </w:p>
    <w:p w:rsidR="0091194E" w:rsidRPr="0091194E" w:rsidRDefault="0091194E" w:rsidP="0091194E">
      <w:pPr>
        <w:spacing w:after="0" w:line="240" w:lineRule="auto"/>
        <w:ind w:firstLine="349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 xml:space="preserve">c) </w:t>
      </w:r>
      <w:r w:rsidRPr="0091194E">
        <w:rPr>
          <w:rFonts w:cstheme="minorHAnsi"/>
          <w:b/>
          <w:sz w:val="16"/>
          <w:szCs w:val="16"/>
        </w:rPr>
        <w:t>Poskytovatelé sociálních služeb</w:t>
      </w:r>
      <w:r w:rsidRPr="0091194E">
        <w:rPr>
          <w:rFonts w:cstheme="minorHAnsi"/>
          <w:sz w:val="16"/>
          <w:szCs w:val="16"/>
        </w:rPr>
        <w:t xml:space="preserve">, jde-li o 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domovy pro osoby se zdravotním postižením,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domovy pro seniory,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domovy se zvláštním režimem,</w:t>
      </w:r>
    </w:p>
    <w:p w:rsidR="0091194E" w:rsidRPr="0091194E" w:rsidRDefault="0091194E" w:rsidP="0091194E">
      <w:pPr>
        <w:pStyle w:val="Odstavecseseznamem"/>
        <w:numPr>
          <w:ilvl w:val="1"/>
          <w:numId w:val="4"/>
        </w:num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poskytovatele sociálních služeb poskytující odlehčovací služby v pobytové formě,</w:t>
      </w:r>
    </w:p>
    <w:p w:rsidR="0091194E" w:rsidRPr="0091194E" w:rsidRDefault="0091194E" w:rsidP="0091194E">
      <w:pPr>
        <w:pStyle w:val="Default"/>
        <w:ind w:left="567"/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91194E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kteří na žádost provádí screeningové antigenní testování u zaměstnanců těchto poskytovatelů a uživatelů sociálních služeb a jestliže to personální možnosti poskytovatele umožňují, i u návštěv uživatelů a zaměstnanců poskytovatele sociálních služeb pečovatelské služby nebo osobní asistence nebo chráněného bydlení nebo týdenního stacionáře.</w:t>
      </w:r>
    </w:p>
    <w:p w:rsidR="0091194E" w:rsidRPr="0091194E" w:rsidRDefault="0091194E" w:rsidP="0091194E">
      <w:pPr>
        <w:spacing w:after="0" w:line="240" w:lineRule="auto"/>
        <w:ind w:left="567"/>
        <w:jc w:val="both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spacing w:after="0" w:line="240" w:lineRule="auto"/>
        <w:ind w:left="567"/>
        <w:jc w:val="both"/>
        <w:rPr>
          <w:rFonts w:cstheme="minorHAnsi"/>
          <w:sz w:val="16"/>
          <w:szCs w:val="16"/>
        </w:rPr>
      </w:pPr>
      <w:r w:rsidRPr="0091194E">
        <w:rPr>
          <w:rFonts w:cstheme="minorHAnsi"/>
          <w:sz w:val="16"/>
          <w:szCs w:val="16"/>
        </w:rPr>
        <w:t>Testování je prováděno prostřednictvím zaměstnance, který je zdravotnickým pracovníkem, nebo prostřednictvím poskytovatele zdravotních služeb, s nímž má uzavřenu smlouvu o poskytování pracovně-lékařských služeb, nebo jiného poskytovatele zdravotních služeb, se kterým uzavře za účelem provedení antigenních testů smlouvu o poskytování zdravotních služeb.</w:t>
      </w:r>
    </w:p>
    <w:p w:rsidR="0091194E" w:rsidRPr="0091194E" w:rsidRDefault="0091194E" w:rsidP="0091194E">
      <w:pPr>
        <w:spacing w:after="0" w:line="240" w:lineRule="auto"/>
        <w:ind w:firstLine="349"/>
        <w:jc w:val="both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spacing w:after="0" w:line="240" w:lineRule="auto"/>
        <w:ind w:firstLine="349"/>
        <w:jc w:val="both"/>
        <w:rPr>
          <w:rFonts w:cstheme="minorHAnsi"/>
          <w:sz w:val="16"/>
          <w:szCs w:val="16"/>
        </w:rPr>
      </w:pPr>
    </w:p>
    <w:p w:rsidR="0091194E" w:rsidRPr="0091194E" w:rsidRDefault="0091194E" w:rsidP="0091194E">
      <w:pPr>
        <w:pStyle w:val="Prosttext"/>
        <w:jc w:val="both"/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</w:pPr>
      <w:r w:rsidRPr="0091194E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  <w:t>III. Vykazování a úhrada výkonu 99949 u smluvních a nesmluvních poskytovatelů zdravotních nebo sociálních služeb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91194E" w:rsidRPr="0091194E" w:rsidRDefault="0091194E" w:rsidP="0091194E">
      <w:pPr>
        <w:pStyle w:val="Prosttext"/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91194E">
        <w:rPr>
          <w:rFonts w:asciiTheme="minorHAnsi" w:hAnsiTheme="minorHAnsi" w:cstheme="minorHAnsi"/>
          <w:b/>
          <w:bCs/>
          <w:sz w:val="16"/>
          <w:szCs w:val="16"/>
          <w:u w:val="single"/>
        </w:rPr>
        <w:t>Vykazování a úhrada výkonu 99949 u SMLUVNÍCH poskytovatelů zdravotních hrazených služeb</w:t>
      </w:r>
    </w:p>
    <w:p w:rsidR="0091194E" w:rsidRPr="0091194E" w:rsidRDefault="0091194E" w:rsidP="0091194E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Výkon 99949 bude hrazen </w:t>
      </w:r>
      <w:r w:rsidRPr="0091194E">
        <w:rPr>
          <w:rFonts w:asciiTheme="minorHAnsi" w:hAnsiTheme="minorHAnsi" w:cstheme="minorHAnsi"/>
          <w:b/>
          <w:sz w:val="16"/>
          <w:szCs w:val="16"/>
        </w:rPr>
        <w:t>mimo regulační mechanismy výkonově.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Doporučená diagnóza pro vykazování výkonu 99949 je 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Z11.5 </w:t>
      </w:r>
      <w:r w:rsidRPr="0091194E">
        <w:rPr>
          <w:rFonts w:asciiTheme="minorHAnsi" w:hAnsiTheme="minorHAnsi" w:cstheme="minorHAnsi"/>
          <w:sz w:val="16"/>
          <w:szCs w:val="16"/>
        </w:rPr>
        <w:t>- Screeningové vyšetření specializované na jiné virové nemoci.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Výkon je vykazován elektronicky, standardně na dokladu typu 01 (včetně dokladu </w:t>
      </w:r>
      <w:proofErr w:type="gramStart"/>
      <w:r w:rsidRPr="0091194E">
        <w:rPr>
          <w:rFonts w:asciiTheme="minorHAnsi" w:hAnsiTheme="minorHAnsi" w:cstheme="minorHAnsi"/>
          <w:sz w:val="16"/>
          <w:szCs w:val="16"/>
        </w:rPr>
        <w:t>01s</w:t>
      </w:r>
      <w:proofErr w:type="gramEnd"/>
      <w:r w:rsidRPr="0091194E">
        <w:rPr>
          <w:rFonts w:asciiTheme="minorHAnsi" w:hAnsiTheme="minorHAnsi" w:cstheme="minorHAnsi"/>
          <w:sz w:val="16"/>
          <w:szCs w:val="16"/>
        </w:rPr>
        <w:t>) nebo 05 nebo 06 (kde bude technicky vyplněno IČP a odbornost poskytujícího pracoviště i v poli žádajícího pracoviště).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Výkon </w:t>
      </w:r>
      <w:r w:rsidRPr="0091194E">
        <w:rPr>
          <w:rFonts w:asciiTheme="minorHAnsi" w:hAnsiTheme="minorHAnsi" w:cstheme="minorHAnsi"/>
          <w:bCs/>
          <w:sz w:val="16"/>
          <w:szCs w:val="16"/>
        </w:rPr>
        <w:t>99949</w:t>
      </w:r>
      <w:r w:rsidRPr="0091194E">
        <w:rPr>
          <w:rFonts w:asciiTheme="minorHAnsi" w:hAnsiTheme="minorHAnsi" w:cstheme="minorHAnsi"/>
          <w:sz w:val="16"/>
          <w:szCs w:val="16"/>
        </w:rPr>
        <w:t xml:space="preserve"> - (VZP) PRŮKAZ ANTIGENU SARS-CoV-2 REALIZOVANÝ V RÁMCI PLOŠNÉHO TESTOVÁNÍ 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bude uhrazen bez nasmlouvání do Přílohy č. 2 Smlouvy. 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Výkon 99949 bude v případě garantované sítě poskytovatelů s nasmlouvanou odb. 958 - antigenní odběrové centrum vykazován výhradně pod IČP s touto odborností.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V případě smluvních poskytovatelů zařazených do sekundární sítě bude výkon 99949 vykazován pod jedním IČP.</w:t>
      </w:r>
    </w:p>
    <w:p w:rsidR="0091194E" w:rsidRPr="0091194E" w:rsidRDefault="0091194E" w:rsidP="0091194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Pokud smluvnímu poskytovateli nebylo doposud přiděleno IČP v odbornosti 958 a má zájem zřídit samostatné stacionární antigenní odběrové centrum (dle části II, písm. a) tohoto organizačního opatření):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obrátí se s žádostí o přidělení IČP odb. 958 na místně příslušnou regionální pobočku VZP ČR,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současně s žádostí zašle místo poskytování antigenního testování, povolení krajského úřadu s uvedením adresy stacionárního odběrového centra, personální zabezpečení, rozsah provozní doby,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místně příslušná regionální pobočka VZP ČR následně sdělí poskytovateli přidělené identifikační číslo pracoviště (IČP); toto IČP bude platné i pro ostatní zdravotní pojišťovny. </w:t>
      </w:r>
    </w:p>
    <w:p w:rsidR="0091194E" w:rsidRPr="0091194E" w:rsidRDefault="0091194E" w:rsidP="0091194E">
      <w:pPr>
        <w:pStyle w:val="Prosttext"/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91194E">
        <w:rPr>
          <w:rFonts w:asciiTheme="minorHAnsi" w:hAnsiTheme="minorHAnsi" w:cstheme="minorHAnsi"/>
          <w:b/>
          <w:bCs/>
          <w:sz w:val="16"/>
          <w:szCs w:val="16"/>
          <w:u w:val="single"/>
        </w:rPr>
        <w:t>Vykazování a úhrada výkonu 99949 u NESMLUVNÍCH poskytovatelů zdravotních nebo sociálních služeb</w:t>
      </w:r>
    </w:p>
    <w:p w:rsidR="0091194E" w:rsidRPr="0091194E" w:rsidRDefault="0091194E" w:rsidP="0091194E">
      <w:pPr>
        <w:pStyle w:val="Prosttext"/>
        <w:ind w:left="720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91194E" w:rsidRPr="0091194E" w:rsidRDefault="0091194E" w:rsidP="0091194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>Nesmluvním poskytovatelem je poskytovatel, který nemá uzavřenou žádnou smlouvu o poskytování a úhradě hrazených služeb s </w:t>
      </w:r>
      <w:r w:rsidR="001923E7">
        <w:rPr>
          <w:rFonts w:asciiTheme="minorHAnsi" w:hAnsiTheme="minorHAnsi" w:cstheme="minorHAnsi"/>
          <w:sz w:val="16"/>
          <w:szCs w:val="16"/>
        </w:rPr>
        <w:t>ZPŠ</w:t>
      </w:r>
      <w:r w:rsidRPr="0091194E">
        <w:rPr>
          <w:rFonts w:asciiTheme="minorHAnsi" w:hAnsiTheme="minorHAnsi" w:cstheme="minorHAnsi"/>
          <w:sz w:val="16"/>
          <w:szCs w:val="16"/>
        </w:rPr>
        <w:t xml:space="preserve"> ČR. Pokud poskytovateli nebylo doposud přiděleno identifikační číslo zařízení (IČZ) a IČP v odbornosti 958: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Poskytovatel se obrátí s žádostí o přidělení nesmluvního identifikačního čísla zařízení (IČZ) na emailovou adresu VZP ČR </w:t>
      </w:r>
      <w:hyperlink r:id="rId6" w:history="1">
        <w:r w:rsidRPr="0091194E">
          <w:rPr>
            <w:rStyle w:val="OdstavecseseznamemChar"/>
            <w:rFonts w:asciiTheme="minorHAnsi" w:hAnsiTheme="minorHAnsi" w:cstheme="minorHAnsi"/>
            <w:sz w:val="16"/>
            <w:szCs w:val="16"/>
          </w:rPr>
          <w:t>testovani_covid@vzp.cz</w:t>
        </w:r>
      </w:hyperlink>
      <w:r w:rsidRPr="0091194E">
        <w:rPr>
          <w:rFonts w:asciiTheme="minorHAnsi" w:hAnsiTheme="minorHAnsi" w:cstheme="minorHAnsi"/>
          <w:sz w:val="16"/>
          <w:szCs w:val="16"/>
        </w:rPr>
        <w:t xml:space="preserve"> s tím, že do předmět</w:t>
      </w:r>
      <w:bookmarkStart w:id="4" w:name="_GoBack"/>
      <w:bookmarkEnd w:id="4"/>
      <w:r w:rsidRPr="0091194E">
        <w:rPr>
          <w:rFonts w:asciiTheme="minorHAnsi" w:hAnsiTheme="minorHAnsi" w:cstheme="minorHAnsi"/>
          <w:sz w:val="16"/>
          <w:szCs w:val="16"/>
        </w:rPr>
        <w:t>u emailu uvede vždy své IČO, název firmy.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Současně s žádostí zašle místo poskytování antigenního testování, povolení krajského úřadu s uvedením adresy stacionárního odběrového centra, personální zabezpečení, rozsah provozní doby. </w:t>
      </w:r>
    </w:p>
    <w:p w:rsidR="0091194E" w:rsidRPr="0091194E" w:rsidRDefault="0091194E" w:rsidP="0091194E">
      <w:pPr>
        <w:pStyle w:val="Odstavecseseznamem"/>
        <w:numPr>
          <w:ilvl w:val="0"/>
          <w:numId w:val="12"/>
        </w:numPr>
        <w:ind w:left="1276" w:hanging="283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Místně příslušná regionální pobočka VZP ČR následně sdělí poskytovateli přidělené IČZ a dále identifikační číslo pracoviště (IČP). </w:t>
      </w:r>
      <w:r w:rsidRPr="00803264">
        <w:rPr>
          <w:rFonts w:asciiTheme="minorHAnsi" w:hAnsiTheme="minorHAnsi" w:cstheme="minorHAnsi"/>
          <w:b/>
          <w:sz w:val="16"/>
          <w:szCs w:val="16"/>
        </w:rPr>
        <w:t>Toto IČZ bude platné i pro ostatní zdravotní pojišťovny.</w:t>
      </w:r>
      <w:r w:rsidRPr="0091194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1194E" w:rsidRPr="0091194E" w:rsidRDefault="0091194E" w:rsidP="0091194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Poskytovateli je umožněno pod přiděleným IČZ a IČP zdravotní pojišťovně vykazovat výkon 99949 realizovaný v souladu výše uvedenými Mimořádnými opatřeními MZ ČR. </w:t>
      </w:r>
    </w:p>
    <w:p w:rsidR="0091194E" w:rsidRPr="0091194E" w:rsidRDefault="0091194E" w:rsidP="0091194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Poskytovatel vykazuje provedený výkon testování na dokladu 01, </w:t>
      </w:r>
      <w:proofErr w:type="gramStart"/>
      <w:r w:rsidRPr="0091194E">
        <w:rPr>
          <w:rFonts w:asciiTheme="minorHAnsi" w:hAnsiTheme="minorHAnsi" w:cstheme="minorHAnsi"/>
          <w:sz w:val="16"/>
          <w:szCs w:val="16"/>
        </w:rPr>
        <w:t>01s</w:t>
      </w:r>
      <w:proofErr w:type="gramEnd"/>
      <w:r w:rsidRPr="0091194E">
        <w:rPr>
          <w:rFonts w:asciiTheme="minorHAnsi" w:hAnsiTheme="minorHAnsi" w:cstheme="minorHAnsi"/>
          <w:sz w:val="16"/>
          <w:szCs w:val="16"/>
        </w:rPr>
        <w:t xml:space="preserve"> nebo 05 dle </w:t>
      </w:r>
      <w:hyperlink r:id="rId7" w:history="1">
        <w:r w:rsidRPr="0091194E">
          <w:rPr>
            <w:rStyle w:val="Hypertextovodkaz"/>
            <w:rFonts w:asciiTheme="minorHAnsi" w:hAnsiTheme="minorHAnsi" w:cstheme="minorHAnsi"/>
            <w:sz w:val="16"/>
            <w:szCs w:val="16"/>
          </w:rPr>
          <w:t>platné metodiky a datového rozhraní</w:t>
        </w:r>
      </w:hyperlink>
      <w:r w:rsidRPr="0091194E">
        <w:rPr>
          <w:rStyle w:val="Hypertextovodkaz"/>
          <w:rFonts w:asciiTheme="minorHAnsi" w:hAnsiTheme="minorHAnsi" w:cstheme="minorHAnsi"/>
          <w:sz w:val="16"/>
          <w:szCs w:val="16"/>
        </w:rPr>
        <w:t xml:space="preserve">, </w:t>
      </w:r>
      <w:r w:rsidRPr="0091194E">
        <w:rPr>
          <w:rFonts w:asciiTheme="minorHAnsi" w:hAnsiTheme="minorHAnsi" w:cstheme="minorHAnsi"/>
          <w:sz w:val="16"/>
          <w:szCs w:val="16"/>
        </w:rPr>
        <w:t>přičemž na pozici poskytovatele se uvádí přidělené IČP i odbornost 958. Toto pravidlo platí pouze pro vykazování výkonu 99949. Poskytovatel vykazuje doklady výhradně elektronicky.</w:t>
      </w:r>
    </w:p>
    <w:p w:rsidR="0091194E" w:rsidRPr="0091194E" w:rsidRDefault="0091194E" w:rsidP="0091194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194E">
        <w:rPr>
          <w:rFonts w:asciiTheme="minorHAnsi" w:hAnsiTheme="minorHAnsi" w:cstheme="minorHAnsi"/>
          <w:sz w:val="16"/>
          <w:szCs w:val="16"/>
        </w:rPr>
        <w:t xml:space="preserve">Doporučená diagnóza pro vykazování výkonu 99949 je </w:t>
      </w:r>
      <w:r w:rsidRPr="0091194E">
        <w:rPr>
          <w:rFonts w:asciiTheme="minorHAnsi" w:hAnsiTheme="minorHAnsi" w:cstheme="minorHAnsi"/>
          <w:b/>
          <w:sz w:val="16"/>
          <w:szCs w:val="16"/>
        </w:rPr>
        <w:t xml:space="preserve">Z11.5 </w:t>
      </w:r>
      <w:r w:rsidRPr="0091194E">
        <w:rPr>
          <w:rFonts w:asciiTheme="minorHAnsi" w:hAnsiTheme="minorHAnsi" w:cstheme="minorHAnsi"/>
          <w:sz w:val="16"/>
          <w:szCs w:val="16"/>
        </w:rPr>
        <w:t>- Screeningové vyšetření specializované na jiné virové nemoci.</w:t>
      </w:r>
    </w:p>
    <w:p w:rsidR="0091194E" w:rsidRPr="0091194E" w:rsidRDefault="0091194E" w:rsidP="0091194E">
      <w:pPr>
        <w:rPr>
          <w:rFonts w:eastAsia="Calibri" w:cstheme="minorHAnsi"/>
          <w:b/>
          <w:color w:val="ED7D31" w:themeColor="accent2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00FC" w:rsidRPr="0091194E" w:rsidRDefault="007300FC">
      <w:pPr>
        <w:rPr>
          <w:rFonts w:cstheme="minorHAnsi"/>
          <w:sz w:val="16"/>
          <w:szCs w:val="16"/>
        </w:rPr>
      </w:pPr>
    </w:p>
    <w:sectPr w:rsidR="007300FC" w:rsidRPr="0091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59A"/>
    <w:multiLevelType w:val="hybridMultilevel"/>
    <w:tmpl w:val="E7600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0D9E"/>
    <w:multiLevelType w:val="hybridMultilevel"/>
    <w:tmpl w:val="926E06F2"/>
    <w:lvl w:ilvl="0" w:tplc="8FA8C5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726573"/>
    <w:multiLevelType w:val="hybridMultilevel"/>
    <w:tmpl w:val="82DEF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AAC"/>
    <w:multiLevelType w:val="hybridMultilevel"/>
    <w:tmpl w:val="A45C087E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A3C03B2"/>
    <w:multiLevelType w:val="hybridMultilevel"/>
    <w:tmpl w:val="8AC40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EC3543"/>
    <w:multiLevelType w:val="hybridMultilevel"/>
    <w:tmpl w:val="2DDE1E0A"/>
    <w:lvl w:ilvl="0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8" w15:restartNumberingAfterBreak="0">
    <w:nsid w:val="57D12C2A"/>
    <w:multiLevelType w:val="hybridMultilevel"/>
    <w:tmpl w:val="0A8CE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816E3"/>
    <w:multiLevelType w:val="hybridMultilevel"/>
    <w:tmpl w:val="73284478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8903739"/>
    <w:multiLevelType w:val="hybridMultilevel"/>
    <w:tmpl w:val="8DC0A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2D2"/>
    <w:multiLevelType w:val="hybridMultilevel"/>
    <w:tmpl w:val="7436DDC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C"/>
    <w:rsid w:val="001923E7"/>
    <w:rsid w:val="007300FC"/>
    <w:rsid w:val="00803264"/>
    <w:rsid w:val="008B7258"/>
    <w:rsid w:val="0091194E"/>
    <w:rsid w:val="00E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3B6"/>
  <w15:chartTrackingRefBased/>
  <w15:docId w15:val="{6C53FA9A-266B-464C-A8E0-D6ED68E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94E"/>
  </w:style>
  <w:style w:type="paragraph" w:styleId="Nadpis1">
    <w:name w:val="heading 1"/>
    <w:basedOn w:val="Normln"/>
    <w:next w:val="Normln"/>
    <w:link w:val="Nadpis1Char"/>
    <w:qFormat/>
    <w:rsid w:val="0091194E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194E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1194E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1194E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1194E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1194E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1194E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1194E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1194E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19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1194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1194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1194E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119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1194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119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91194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119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91194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1194E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locked/>
    <w:rsid w:val="0091194E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1194E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194E"/>
    <w:rPr>
      <w:rFonts w:ascii="Calibri" w:hAnsi="Calibri" w:cs="Times New Roman"/>
      <w:lang w:eastAsia="cs-CZ"/>
    </w:rPr>
  </w:style>
  <w:style w:type="paragraph" w:customStyle="1" w:styleId="Default">
    <w:name w:val="Default"/>
    <w:basedOn w:val="Normln"/>
    <w:rsid w:val="0091194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zp.cz/poskytovatele/vyuctovani-zdravotni-pece/metodika-vyuctovani-aktualni-st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ovani_covid@vzp.cz" TargetMode="External"/><Relationship Id="rId5" Type="http://schemas.openxmlformats.org/officeDocument/2006/relationships/hyperlink" Target="https://www.mzcr.cz/zruseni-mimoradnych-opatreni-kterymi-se-stanovuje-povinne-plosne-a-screeningove-testovani-obyvatel-cr-s-ucinnosti-od-1-7-20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1770</Words>
  <Characters>10446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Určeno poskytovatelům zdravotních služeb</vt:lpstr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6</cp:revision>
  <dcterms:created xsi:type="dcterms:W3CDTF">2021-11-04T05:50:00Z</dcterms:created>
  <dcterms:modified xsi:type="dcterms:W3CDTF">2021-11-04T06:34:00Z</dcterms:modified>
</cp:coreProperties>
</file>