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DE6A3" w14:textId="61D3A478" w:rsidR="0070413C" w:rsidRPr="00940221" w:rsidRDefault="0070413C" w:rsidP="00603094">
      <w:pPr>
        <w:spacing w:line="312" w:lineRule="auto"/>
        <w:rPr>
          <w:rFonts w:cs="Arial"/>
          <w:color w:val="BBBABA"/>
        </w:rPr>
      </w:pPr>
    </w:p>
    <w:p w14:paraId="70FF5544" w14:textId="77777777" w:rsidR="002743A3" w:rsidRPr="00FE7247" w:rsidRDefault="002743A3" w:rsidP="002743A3">
      <w:pPr>
        <w:spacing w:after="200" w:line="276" w:lineRule="auto"/>
        <w:jc w:val="center"/>
        <w:rPr>
          <w:rFonts w:eastAsia="MS Gothic" w:cs="Arial"/>
          <w:b/>
          <w:bCs/>
          <w:color w:val="7030A0"/>
          <w:sz w:val="28"/>
          <w:szCs w:val="28"/>
        </w:rPr>
      </w:pPr>
      <w:bookmarkStart w:id="0" w:name="_Hlk211924826"/>
      <w:r w:rsidRPr="00FE7247">
        <w:rPr>
          <w:rFonts w:eastAsia="MS Gothic" w:cs="Arial"/>
          <w:b/>
          <w:bCs/>
          <w:color w:val="7030A0"/>
          <w:sz w:val="28"/>
          <w:szCs w:val="28"/>
        </w:rPr>
        <w:t>METODIKA PILOTNÍHO PROJEKTU STOMATOLOGICKÉHO AMBULANTNÍHO OŠETŘENÍ V CELKOVÉ ANESTEZII (CA)</w:t>
      </w:r>
    </w:p>
    <w:p w14:paraId="0E77065F" w14:textId="77777777" w:rsidR="002743A3" w:rsidRPr="00FE7247" w:rsidRDefault="002743A3" w:rsidP="002743A3">
      <w:pPr>
        <w:spacing w:after="0" w:line="276" w:lineRule="auto"/>
        <w:rPr>
          <w:rFonts w:eastAsia="MS Mincho" w:cs="Arial"/>
          <w:sz w:val="22"/>
        </w:rPr>
      </w:pPr>
      <w:r w:rsidRPr="00FE7247">
        <w:rPr>
          <w:rFonts w:eastAsia="MS Mincho" w:cs="Arial"/>
          <w:b/>
          <w:bCs/>
          <w:sz w:val="22"/>
        </w:rPr>
        <w:t>Platnost projektu:</w:t>
      </w:r>
      <w:r w:rsidRPr="00FE7247">
        <w:rPr>
          <w:rFonts w:eastAsia="MS Mincho" w:cs="Arial"/>
          <w:sz w:val="22"/>
        </w:rPr>
        <w:t xml:space="preserve"> 1. 1. 2026 – 31. 12. 2026</w:t>
      </w:r>
    </w:p>
    <w:p w14:paraId="073C16F3" w14:textId="77777777" w:rsidR="002743A3" w:rsidRPr="00FE7247" w:rsidRDefault="002743A3" w:rsidP="002743A3">
      <w:pPr>
        <w:spacing w:after="120" w:line="276" w:lineRule="auto"/>
        <w:rPr>
          <w:rFonts w:eastAsia="MS Mincho" w:cs="Arial"/>
          <w:sz w:val="22"/>
        </w:rPr>
      </w:pPr>
      <w:bookmarkStart w:id="1" w:name="_GoBack"/>
      <w:bookmarkEnd w:id="1"/>
    </w:p>
    <w:p w14:paraId="274910BE" w14:textId="77777777" w:rsidR="002743A3" w:rsidRPr="002743A3" w:rsidRDefault="002743A3" w:rsidP="002743A3">
      <w:pPr>
        <w:pStyle w:val="Odstavecseseznamem"/>
        <w:keepNext/>
        <w:keepLines/>
        <w:numPr>
          <w:ilvl w:val="0"/>
          <w:numId w:val="9"/>
        </w:numPr>
        <w:spacing w:after="120" w:line="240" w:lineRule="auto"/>
        <w:ind w:left="284" w:hanging="284"/>
        <w:contextualSpacing w:val="0"/>
        <w:jc w:val="both"/>
        <w:outlineLvl w:val="0"/>
        <w:rPr>
          <w:rFonts w:ascii="Arial" w:eastAsia="MS Gothic" w:hAnsi="Arial" w:cs="Arial"/>
          <w:b/>
          <w:bCs/>
          <w:color w:val="7030A0"/>
          <w:kern w:val="0"/>
          <w14:ligatures w14:val="none"/>
        </w:rPr>
      </w:pPr>
      <w:r w:rsidRPr="002743A3">
        <w:rPr>
          <w:rFonts w:ascii="Arial" w:eastAsia="MS Gothic" w:hAnsi="Arial" w:cs="Arial"/>
          <w:b/>
          <w:bCs/>
          <w:color w:val="7030A0"/>
          <w:kern w:val="0"/>
          <w14:ligatures w14:val="none"/>
        </w:rPr>
        <w:t>Cíl projektu</w:t>
      </w:r>
    </w:p>
    <w:p w14:paraId="3913FFCC" w14:textId="77777777" w:rsidR="002743A3" w:rsidRPr="002743A3" w:rsidRDefault="002743A3" w:rsidP="00FE7247">
      <w:pPr>
        <w:keepNext/>
        <w:keepLines/>
        <w:outlineLvl w:val="1"/>
        <w:rPr>
          <w:rFonts w:eastAsia="Times New Roman" w:cs="Arial"/>
          <w:bCs/>
          <w:sz w:val="22"/>
          <w:lang w:eastAsia="cs-CZ"/>
        </w:rPr>
      </w:pPr>
      <w:r w:rsidRPr="002743A3">
        <w:rPr>
          <w:rFonts w:eastAsia="MS Mincho" w:cs="Arial"/>
          <w:sz w:val="22"/>
        </w:rPr>
        <w:t xml:space="preserve">Cílem je zajistit dostupnost péče pro pacienty, jejichž zdravotní stav nelze řešit v běžném režimu praktického zubního lékaře, se zaměřením na mezioborovou spolupráci </w:t>
      </w:r>
      <w:r w:rsidRPr="002743A3">
        <w:rPr>
          <w:rFonts w:eastAsia="Times New Roman" w:cs="Arial"/>
          <w:sz w:val="22"/>
          <w:lang w:eastAsia="cs-CZ"/>
        </w:rPr>
        <w:t>odpovídající potřebám zdravotního stavu pojištěnce a účelu, jehož má být jejím poskytnutím dosaženo. Poskytnutá zdravotní služba bude pro pojištěnce přiměřeně bezpečná a bude provedena v souladu se současnými dostupnými poznatky lékařské vědy.</w:t>
      </w:r>
      <w:r w:rsidRPr="002743A3">
        <w:rPr>
          <w:rFonts w:eastAsia="Times New Roman" w:cs="Arial"/>
          <w:bCs/>
          <w:sz w:val="22"/>
          <w:lang w:eastAsia="cs-CZ"/>
        </w:rPr>
        <w:t xml:space="preserve"> Ve stomatologické praxi se to týká případů, kdy je nedostatečná spolupráce pojištěnce například vzhledem k věku dítěte, jeho vývoji a také rozsahu nálezů, nedostatečná spolupráce osob s kognitivní poruchou nebo demencí a složitá invazivní terapeutická opatření, u nichž není dostatečná eliminace bolesti a schopnost pacienta spolupracovat v lokální anestezii. To jsou obecné případy, kde má ošetření v celkové anestezii ve stomatologii své místo. Stomatolog musí ověřit, zda je zubní ošetření v celkové anestezii z hlediska celkového zdravotního stavu pacienta indikováno, kompletně naplánuje ošetření a obecně cílem by měla být kompletní rehabilitace dutiny ústní.   Potenciální rizika související s celkovou anestezií musí být zvážena s riziky neprovedení zubního ošetření nebo jeho provedení pouze v omezeném rozsahu.</w:t>
      </w:r>
    </w:p>
    <w:p w14:paraId="4F49067B" w14:textId="725452ED" w:rsidR="002743A3" w:rsidRDefault="002743A3" w:rsidP="00FE7247">
      <w:pPr>
        <w:keepNext/>
        <w:keepLines/>
        <w:spacing w:after="0"/>
        <w:outlineLvl w:val="1"/>
        <w:rPr>
          <w:rFonts w:eastAsia="MS Mincho" w:cs="Arial"/>
          <w:sz w:val="22"/>
        </w:rPr>
      </w:pPr>
      <w:r w:rsidRPr="002743A3">
        <w:rPr>
          <w:rFonts w:eastAsia="MS Mincho" w:cs="Arial"/>
          <w:sz w:val="22"/>
        </w:rPr>
        <w:t>Síť bude rovnoměrně rozmístěna ve všech krajích, ideálně s 2 poskytovateli na každý kraj, optimálně cca 28 poskytovatelů. Ve velkých aglomeracích bude počet poskytovatelů navýšen.</w:t>
      </w:r>
    </w:p>
    <w:p w14:paraId="27FE42B0" w14:textId="77777777" w:rsidR="002743A3" w:rsidRPr="002743A3" w:rsidRDefault="002743A3" w:rsidP="00FE7247">
      <w:pPr>
        <w:keepNext/>
        <w:keepLines/>
        <w:spacing w:after="0"/>
        <w:outlineLvl w:val="1"/>
        <w:rPr>
          <w:rFonts w:eastAsia="MS Mincho" w:cs="Arial"/>
          <w:sz w:val="22"/>
        </w:rPr>
      </w:pPr>
    </w:p>
    <w:p w14:paraId="37E1F76F" w14:textId="77777777" w:rsidR="002743A3" w:rsidRPr="002743A3" w:rsidRDefault="002743A3" w:rsidP="00FE7247">
      <w:pPr>
        <w:pStyle w:val="Odstavecseseznamem"/>
        <w:keepNext/>
        <w:keepLines/>
        <w:numPr>
          <w:ilvl w:val="0"/>
          <w:numId w:val="9"/>
        </w:numPr>
        <w:spacing w:after="120" w:line="300" w:lineRule="exact"/>
        <w:ind w:left="284" w:hanging="284"/>
        <w:contextualSpacing w:val="0"/>
        <w:jc w:val="both"/>
        <w:outlineLvl w:val="0"/>
        <w:rPr>
          <w:rFonts w:ascii="Arial" w:eastAsia="MS Gothic" w:hAnsi="Arial" w:cs="Arial"/>
          <w:b/>
          <w:bCs/>
          <w:color w:val="7030A0"/>
          <w:kern w:val="0"/>
          <w14:ligatures w14:val="none"/>
        </w:rPr>
      </w:pPr>
      <w:r w:rsidRPr="002743A3">
        <w:rPr>
          <w:rFonts w:ascii="Arial" w:eastAsia="MS Gothic" w:hAnsi="Arial" w:cs="Arial"/>
          <w:b/>
          <w:bCs/>
          <w:color w:val="7030A0"/>
          <w:kern w:val="0"/>
          <w14:ligatures w14:val="none"/>
        </w:rPr>
        <w:t xml:space="preserve">Cílová skupina pojištěnců indikovaných ke </w:t>
      </w:r>
      <w:proofErr w:type="spellStart"/>
      <w:r w:rsidRPr="002743A3">
        <w:rPr>
          <w:rFonts w:ascii="Arial" w:eastAsia="MS Gothic" w:hAnsi="Arial" w:cs="Arial"/>
          <w:b/>
          <w:bCs/>
          <w:color w:val="7030A0"/>
          <w:kern w:val="0"/>
          <w14:ligatures w14:val="none"/>
        </w:rPr>
        <w:t>stom</w:t>
      </w:r>
      <w:proofErr w:type="spellEnd"/>
      <w:r w:rsidRPr="002743A3">
        <w:rPr>
          <w:rFonts w:ascii="Arial" w:eastAsia="MS Gothic" w:hAnsi="Arial" w:cs="Arial"/>
          <w:b/>
          <w:bCs/>
          <w:color w:val="7030A0"/>
          <w:kern w:val="0"/>
          <w14:ligatures w14:val="none"/>
        </w:rPr>
        <w:t xml:space="preserve">. </w:t>
      </w:r>
      <w:proofErr w:type="spellStart"/>
      <w:r w:rsidRPr="002743A3">
        <w:rPr>
          <w:rFonts w:ascii="Arial" w:eastAsia="MS Gothic" w:hAnsi="Arial" w:cs="Arial"/>
          <w:b/>
          <w:bCs/>
          <w:color w:val="7030A0"/>
          <w:kern w:val="0"/>
          <w14:ligatures w14:val="none"/>
        </w:rPr>
        <w:t>amb</w:t>
      </w:r>
      <w:proofErr w:type="spellEnd"/>
      <w:r w:rsidRPr="002743A3">
        <w:rPr>
          <w:rFonts w:ascii="Arial" w:eastAsia="MS Gothic" w:hAnsi="Arial" w:cs="Arial"/>
          <w:b/>
          <w:bCs/>
          <w:color w:val="7030A0"/>
          <w:kern w:val="0"/>
          <w14:ligatures w14:val="none"/>
        </w:rPr>
        <w:t>. ošetření v CA</w:t>
      </w:r>
    </w:p>
    <w:p w14:paraId="72DE3763" w14:textId="77777777" w:rsidR="002743A3" w:rsidRPr="002743A3" w:rsidRDefault="002743A3" w:rsidP="00FE7247">
      <w:pPr>
        <w:spacing w:after="240"/>
        <w:rPr>
          <w:rFonts w:eastAsia="MS Mincho" w:cs="Arial"/>
          <w:sz w:val="22"/>
        </w:rPr>
      </w:pPr>
      <w:r w:rsidRPr="002743A3">
        <w:rPr>
          <w:rFonts w:eastAsia="MS Mincho" w:cs="Arial"/>
          <w:sz w:val="22"/>
        </w:rPr>
        <w:t>Péče v CA je určena pro pacienty, u nichž není možné stomatologické ošetření v lokální anestezii. Indikaci k výkonu v celkové anestezii činí příslušný specialista nebo ošetřující lékař, poskytnutí služby zajistí společně zubní lékař a anesteziolog, po posouzení rizik a vyčerpání méně invazivních</w:t>
      </w:r>
      <w:r w:rsidRPr="002743A3">
        <w:rPr>
          <w:rFonts w:cs="Arial"/>
          <w:sz w:val="22"/>
        </w:rPr>
        <w:t xml:space="preserve"> </w:t>
      </w:r>
      <w:r w:rsidRPr="002743A3">
        <w:rPr>
          <w:rFonts w:eastAsia="MS Mincho" w:cs="Arial"/>
          <w:sz w:val="22"/>
        </w:rPr>
        <w:t>alternativ, a to u této skupiny pojištěnců:</w:t>
      </w:r>
    </w:p>
    <w:p w14:paraId="51FFB78A" w14:textId="77777777" w:rsidR="002743A3" w:rsidRPr="002743A3" w:rsidRDefault="002743A3" w:rsidP="00FE7247">
      <w:pPr>
        <w:pStyle w:val="Odstavecseseznamem"/>
        <w:numPr>
          <w:ilvl w:val="0"/>
          <w:numId w:val="1"/>
        </w:numPr>
        <w:spacing w:after="200" w:line="300" w:lineRule="exact"/>
        <w:jc w:val="both"/>
        <w:rPr>
          <w:rFonts w:ascii="Arial" w:eastAsia="MS Mincho" w:hAnsi="Arial" w:cs="Arial"/>
          <w:b/>
          <w:bCs/>
          <w:kern w:val="0"/>
          <w14:ligatures w14:val="none"/>
        </w:rPr>
      </w:pPr>
      <w:bookmarkStart w:id="2" w:name="_Hlk211858535"/>
      <w:r w:rsidRPr="002743A3">
        <w:rPr>
          <w:rFonts w:ascii="Arial" w:eastAsia="MS Mincho" w:hAnsi="Arial" w:cs="Arial"/>
          <w:b/>
          <w:bCs/>
          <w:kern w:val="0"/>
          <w14:ligatures w14:val="none"/>
        </w:rPr>
        <w:t>Děti:</w:t>
      </w:r>
    </w:p>
    <w:bookmarkEnd w:id="2"/>
    <w:p w14:paraId="5A311C99" w14:textId="77777777" w:rsidR="002743A3" w:rsidRPr="002743A3" w:rsidRDefault="002743A3" w:rsidP="00FE7247">
      <w:pPr>
        <w:pStyle w:val="Odstavecseseznamem"/>
        <w:numPr>
          <w:ilvl w:val="0"/>
          <w:numId w:val="2"/>
        </w:numPr>
        <w:spacing w:after="200" w:line="300" w:lineRule="exact"/>
        <w:rPr>
          <w:rFonts w:ascii="Arial" w:eastAsia="MS Mincho" w:hAnsi="Arial" w:cs="Arial"/>
          <w:kern w:val="0"/>
          <w14:ligatures w14:val="none"/>
        </w:rPr>
      </w:pPr>
      <w:r w:rsidRPr="002743A3">
        <w:rPr>
          <w:rFonts w:ascii="Arial" w:eastAsia="MS Mincho" w:hAnsi="Arial" w:cs="Arial"/>
          <w:kern w:val="0"/>
          <w14:ligatures w14:val="none"/>
        </w:rPr>
        <w:t xml:space="preserve">s ověřenou </w:t>
      </w:r>
      <w:proofErr w:type="spellStart"/>
      <w:r w:rsidRPr="002743A3">
        <w:rPr>
          <w:rFonts w:ascii="Arial" w:eastAsia="MS Mincho" w:hAnsi="Arial" w:cs="Arial"/>
          <w:kern w:val="0"/>
          <w14:ligatures w14:val="none"/>
        </w:rPr>
        <w:t>neurovývojovou</w:t>
      </w:r>
      <w:proofErr w:type="spellEnd"/>
      <w:r w:rsidRPr="002743A3">
        <w:rPr>
          <w:rFonts w:ascii="Arial" w:eastAsia="MS Mincho" w:hAnsi="Arial" w:cs="Arial"/>
          <w:kern w:val="0"/>
          <w14:ligatures w14:val="none"/>
        </w:rPr>
        <w:t xml:space="preserve"> nebo psychiatrickou diagnózou</w:t>
      </w:r>
    </w:p>
    <w:p w14:paraId="2922EFE7" w14:textId="77777777" w:rsidR="002743A3" w:rsidRPr="002743A3" w:rsidRDefault="002743A3" w:rsidP="00FE7247">
      <w:pPr>
        <w:pStyle w:val="Odstavecseseznamem"/>
        <w:numPr>
          <w:ilvl w:val="0"/>
          <w:numId w:val="2"/>
        </w:numPr>
        <w:spacing w:after="200" w:line="300" w:lineRule="exact"/>
        <w:rPr>
          <w:rFonts w:ascii="Arial" w:eastAsia="MS Mincho" w:hAnsi="Arial" w:cs="Arial"/>
          <w:kern w:val="0"/>
          <w14:ligatures w14:val="none"/>
        </w:rPr>
      </w:pPr>
      <w:r w:rsidRPr="002743A3">
        <w:rPr>
          <w:rFonts w:ascii="Arial" w:eastAsia="MS Mincho" w:hAnsi="Arial" w:cs="Arial"/>
          <w:kern w:val="0"/>
          <w14:ligatures w14:val="none"/>
        </w:rPr>
        <w:t>s poruchami chování a neschopností spolupráce dle věku/vývoje</w:t>
      </w:r>
    </w:p>
    <w:p w14:paraId="3C5A2DFC" w14:textId="77777777" w:rsidR="002743A3" w:rsidRPr="002743A3" w:rsidRDefault="002743A3" w:rsidP="00FE7247">
      <w:pPr>
        <w:pStyle w:val="Odstavecseseznamem"/>
        <w:numPr>
          <w:ilvl w:val="0"/>
          <w:numId w:val="2"/>
        </w:numPr>
        <w:spacing w:after="200" w:line="300" w:lineRule="exact"/>
        <w:rPr>
          <w:rFonts w:ascii="Arial" w:eastAsia="MS Mincho" w:hAnsi="Arial" w:cs="Arial"/>
          <w:kern w:val="0"/>
          <w14:ligatures w14:val="none"/>
        </w:rPr>
      </w:pPr>
      <w:r w:rsidRPr="002743A3">
        <w:rPr>
          <w:rFonts w:ascii="Arial" w:eastAsia="MS Mincho" w:hAnsi="Arial" w:cs="Arial"/>
          <w:kern w:val="0"/>
          <w14:ligatures w14:val="none"/>
        </w:rPr>
        <w:t>s těžkou formou kazivosti (ECC), kdy vzhledem k věku není možné ošetření v běžném režimu PZL</w:t>
      </w:r>
    </w:p>
    <w:p w14:paraId="6AA2F7CF" w14:textId="77777777" w:rsidR="002743A3" w:rsidRPr="002743A3" w:rsidRDefault="002743A3" w:rsidP="00FE7247">
      <w:pPr>
        <w:pStyle w:val="Odstavecseseznamem"/>
        <w:numPr>
          <w:ilvl w:val="0"/>
          <w:numId w:val="2"/>
        </w:numPr>
        <w:spacing w:after="200" w:line="300" w:lineRule="exact"/>
        <w:rPr>
          <w:rFonts w:ascii="Arial" w:eastAsia="MS Mincho" w:hAnsi="Arial" w:cs="Arial"/>
          <w:kern w:val="0"/>
          <w14:ligatures w14:val="none"/>
        </w:rPr>
      </w:pPr>
      <w:r w:rsidRPr="002743A3">
        <w:rPr>
          <w:rFonts w:ascii="Arial" w:eastAsia="MS Mincho" w:hAnsi="Arial" w:cs="Arial"/>
          <w:kern w:val="0"/>
          <w14:ligatures w14:val="none"/>
        </w:rPr>
        <w:t>alergie na lokální anestetika doložené lékařskou zprávou</w:t>
      </w:r>
    </w:p>
    <w:p w14:paraId="51C5F387" w14:textId="77777777" w:rsidR="002743A3" w:rsidRPr="002743A3" w:rsidRDefault="002743A3" w:rsidP="00FE7247">
      <w:pPr>
        <w:pStyle w:val="Odstavecseseznamem"/>
        <w:numPr>
          <w:ilvl w:val="0"/>
          <w:numId w:val="1"/>
        </w:numPr>
        <w:spacing w:after="200" w:line="300" w:lineRule="exact"/>
        <w:jc w:val="both"/>
        <w:rPr>
          <w:rFonts w:ascii="Arial" w:eastAsia="MS Mincho" w:hAnsi="Arial" w:cs="Arial"/>
          <w:b/>
          <w:bCs/>
          <w:kern w:val="0"/>
          <w14:ligatures w14:val="none"/>
        </w:rPr>
      </w:pPr>
      <w:r w:rsidRPr="002743A3">
        <w:rPr>
          <w:rFonts w:ascii="Arial" w:eastAsia="MS Mincho" w:hAnsi="Arial" w:cs="Arial"/>
          <w:b/>
          <w:bCs/>
          <w:kern w:val="0"/>
          <w14:ligatures w14:val="none"/>
        </w:rPr>
        <w:t>Dospělí:</w:t>
      </w:r>
    </w:p>
    <w:p w14:paraId="321C5763" w14:textId="77777777" w:rsidR="002743A3" w:rsidRPr="002743A3" w:rsidRDefault="002743A3" w:rsidP="00FE7247">
      <w:pPr>
        <w:pStyle w:val="Odstavecseseznamem"/>
        <w:numPr>
          <w:ilvl w:val="0"/>
          <w:numId w:val="3"/>
        </w:numPr>
        <w:spacing w:after="200" w:line="300" w:lineRule="exact"/>
        <w:rPr>
          <w:rFonts w:ascii="Arial" w:eastAsia="MS Mincho" w:hAnsi="Arial" w:cs="Arial"/>
          <w:kern w:val="0"/>
          <w14:ligatures w14:val="none"/>
        </w:rPr>
      </w:pPr>
      <w:r w:rsidRPr="002743A3">
        <w:rPr>
          <w:rFonts w:ascii="Arial" w:eastAsia="MS Mincho" w:hAnsi="Arial" w:cs="Arial"/>
          <w:kern w:val="0"/>
          <w14:ligatures w14:val="none"/>
        </w:rPr>
        <w:t>pacienti s tělesným, mentálním nebo smyslovým postižením</w:t>
      </w:r>
    </w:p>
    <w:p w14:paraId="04514689" w14:textId="77777777" w:rsidR="002743A3" w:rsidRPr="002743A3" w:rsidRDefault="002743A3" w:rsidP="00FE7247">
      <w:pPr>
        <w:pStyle w:val="Odstavecseseznamem"/>
        <w:numPr>
          <w:ilvl w:val="0"/>
          <w:numId w:val="3"/>
        </w:numPr>
        <w:spacing w:after="200" w:line="300" w:lineRule="exact"/>
        <w:rPr>
          <w:rFonts w:ascii="Arial" w:eastAsia="MS Mincho" w:hAnsi="Arial" w:cs="Arial"/>
          <w:kern w:val="0"/>
          <w14:ligatures w14:val="none"/>
        </w:rPr>
      </w:pPr>
      <w:r w:rsidRPr="002743A3">
        <w:rPr>
          <w:rFonts w:ascii="Arial" w:eastAsia="MS Mincho" w:hAnsi="Arial" w:cs="Arial"/>
          <w:kern w:val="0"/>
          <w14:ligatures w14:val="none"/>
        </w:rPr>
        <w:t>pacienti s psychiatrickými diagnózami (např. úzkostné poruchy, fobie, deprese)</w:t>
      </w:r>
    </w:p>
    <w:p w14:paraId="3D0BB9E1" w14:textId="77777777" w:rsidR="002743A3" w:rsidRPr="002743A3" w:rsidRDefault="002743A3" w:rsidP="00FE7247">
      <w:pPr>
        <w:pStyle w:val="Odstavecseseznamem"/>
        <w:numPr>
          <w:ilvl w:val="0"/>
          <w:numId w:val="3"/>
        </w:numPr>
        <w:spacing w:after="200" w:line="300" w:lineRule="exact"/>
        <w:rPr>
          <w:rFonts w:ascii="Arial" w:eastAsia="MS Mincho" w:hAnsi="Arial" w:cs="Arial"/>
          <w:kern w:val="0"/>
          <w14:ligatures w14:val="none"/>
        </w:rPr>
      </w:pPr>
      <w:r w:rsidRPr="002743A3">
        <w:rPr>
          <w:rFonts w:ascii="Arial" w:eastAsia="MS Mincho" w:hAnsi="Arial" w:cs="Arial"/>
          <w:kern w:val="0"/>
          <w14:ligatures w14:val="none"/>
        </w:rPr>
        <w:t>pacienti s neurologickými stavy (např. Parkinsonova choroba, esenciální třes, epilepsie kognitivní poruchy)</w:t>
      </w:r>
    </w:p>
    <w:p w14:paraId="05E6CADA" w14:textId="77777777" w:rsidR="002743A3" w:rsidRPr="002743A3" w:rsidRDefault="002743A3" w:rsidP="00FE7247">
      <w:pPr>
        <w:pStyle w:val="Odstavecseseznamem"/>
        <w:numPr>
          <w:ilvl w:val="0"/>
          <w:numId w:val="3"/>
        </w:numPr>
        <w:spacing w:after="200" w:line="300" w:lineRule="exact"/>
        <w:rPr>
          <w:rFonts w:ascii="Arial" w:eastAsia="MS Mincho" w:hAnsi="Arial" w:cs="Arial"/>
          <w:kern w:val="0"/>
          <w14:ligatures w14:val="none"/>
        </w:rPr>
      </w:pPr>
      <w:r w:rsidRPr="002743A3">
        <w:rPr>
          <w:rFonts w:ascii="Arial" w:eastAsia="MS Mincho" w:hAnsi="Arial" w:cs="Arial"/>
          <w:kern w:val="0"/>
          <w14:ligatures w14:val="none"/>
        </w:rPr>
        <w:t>alergie na lokální anestetika doložené lékařskou zprávou</w:t>
      </w:r>
    </w:p>
    <w:p w14:paraId="0200C612" w14:textId="77777777" w:rsidR="002743A3" w:rsidRPr="002743A3" w:rsidRDefault="002743A3" w:rsidP="00FE7247">
      <w:pPr>
        <w:spacing w:after="200"/>
        <w:rPr>
          <w:rFonts w:eastAsia="MS Mincho" w:cs="Arial"/>
          <w:sz w:val="22"/>
        </w:rPr>
      </w:pPr>
      <w:r w:rsidRPr="002743A3">
        <w:rPr>
          <w:rFonts w:eastAsia="MS Mincho" w:cs="Arial"/>
          <w:sz w:val="22"/>
        </w:rPr>
        <w:lastRenderedPageBreak/>
        <w:t>Tabulka definovaných diagnóz, se kterými lze ošetření v CA vykazovat.</w:t>
      </w:r>
    </w:p>
    <w:tbl>
      <w:tblPr>
        <w:tblStyle w:val="Mkatabulky"/>
        <w:tblW w:w="9644" w:type="dxa"/>
        <w:jc w:val="center"/>
        <w:tblLook w:val="04A0" w:firstRow="1" w:lastRow="0" w:firstColumn="1" w:lastColumn="0" w:noHBand="0" w:noVBand="1"/>
      </w:tblPr>
      <w:tblGrid>
        <w:gridCol w:w="1276"/>
        <w:gridCol w:w="3690"/>
        <w:gridCol w:w="4678"/>
      </w:tblGrid>
      <w:tr w:rsidR="002743A3" w:rsidRPr="002743A3" w14:paraId="7CA5D9FB" w14:textId="77777777" w:rsidTr="002743A3">
        <w:trPr>
          <w:jc w:val="center"/>
        </w:trPr>
        <w:tc>
          <w:tcPr>
            <w:tcW w:w="1276" w:type="dxa"/>
          </w:tcPr>
          <w:p w14:paraId="72BB4ED8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2743A3">
              <w:rPr>
                <w:rFonts w:cs="Arial"/>
                <w:b/>
                <w:sz w:val="22"/>
                <w:szCs w:val="22"/>
              </w:rPr>
              <w:t>Kód</w:t>
            </w:r>
            <w:proofErr w:type="spellEnd"/>
            <w:r w:rsidRPr="002743A3">
              <w:rPr>
                <w:rFonts w:cs="Arial"/>
                <w:b/>
                <w:sz w:val="22"/>
                <w:szCs w:val="22"/>
              </w:rPr>
              <w:t xml:space="preserve"> MKN</w:t>
            </w:r>
          </w:p>
        </w:tc>
        <w:tc>
          <w:tcPr>
            <w:tcW w:w="3690" w:type="dxa"/>
          </w:tcPr>
          <w:p w14:paraId="16CC980E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2743A3">
              <w:rPr>
                <w:rFonts w:cs="Arial"/>
                <w:b/>
                <w:sz w:val="22"/>
                <w:szCs w:val="22"/>
              </w:rPr>
              <w:t>Diagnóza</w:t>
            </w:r>
            <w:proofErr w:type="spellEnd"/>
          </w:p>
        </w:tc>
        <w:tc>
          <w:tcPr>
            <w:tcW w:w="4678" w:type="dxa"/>
          </w:tcPr>
          <w:p w14:paraId="41F20490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2743A3">
              <w:rPr>
                <w:rFonts w:cs="Arial"/>
                <w:b/>
                <w:sz w:val="22"/>
                <w:szCs w:val="22"/>
              </w:rPr>
              <w:t>Poznámka</w:t>
            </w:r>
            <w:proofErr w:type="spellEnd"/>
          </w:p>
        </w:tc>
      </w:tr>
      <w:tr w:rsidR="002743A3" w:rsidRPr="002743A3" w14:paraId="3DEA63AC" w14:textId="77777777" w:rsidTr="002743A3">
        <w:trPr>
          <w:jc w:val="center"/>
        </w:trPr>
        <w:tc>
          <w:tcPr>
            <w:tcW w:w="1276" w:type="dxa"/>
          </w:tcPr>
          <w:p w14:paraId="01A871F1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  <w:r w:rsidRPr="002743A3">
              <w:rPr>
                <w:rFonts w:cs="Arial"/>
                <w:sz w:val="22"/>
                <w:szCs w:val="22"/>
              </w:rPr>
              <w:t>F00–F03</w:t>
            </w:r>
          </w:p>
        </w:tc>
        <w:tc>
          <w:tcPr>
            <w:tcW w:w="3690" w:type="dxa"/>
          </w:tcPr>
          <w:p w14:paraId="3627D27D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2743A3">
              <w:rPr>
                <w:rFonts w:cs="Arial"/>
                <w:sz w:val="22"/>
                <w:szCs w:val="22"/>
              </w:rPr>
              <w:t>Demence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(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různé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formy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4678" w:type="dxa"/>
          </w:tcPr>
          <w:p w14:paraId="30C2D822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2743A3">
              <w:rPr>
                <w:rFonts w:cs="Arial"/>
                <w:sz w:val="22"/>
                <w:szCs w:val="22"/>
              </w:rPr>
              <w:t>Zastřešující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dg pro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Alzheimerovu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nemoc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vaskulární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demence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demence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u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Parkinsonovy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nebo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Huntingtonovy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nemoci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, a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další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neurčené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demence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>.</w:t>
            </w:r>
          </w:p>
        </w:tc>
      </w:tr>
      <w:tr w:rsidR="002743A3" w:rsidRPr="002743A3" w14:paraId="1166E999" w14:textId="77777777" w:rsidTr="002743A3">
        <w:trPr>
          <w:jc w:val="center"/>
        </w:trPr>
        <w:tc>
          <w:tcPr>
            <w:tcW w:w="1276" w:type="dxa"/>
          </w:tcPr>
          <w:p w14:paraId="63FE96B9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  <w:r w:rsidRPr="002743A3">
              <w:rPr>
                <w:rFonts w:cs="Arial"/>
                <w:sz w:val="22"/>
                <w:szCs w:val="22"/>
              </w:rPr>
              <w:t>F70-F79</w:t>
            </w:r>
          </w:p>
        </w:tc>
        <w:tc>
          <w:tcPr>
            <w:tcW w:w="3690" w:type="dxa"/>
          </w:tcPr>
          <w:p w14:paraId="38E91DDC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2743A3">
              <w:rPr>
                <w:rFonts w:cs="Arial"/>
                <w:sz w:val="22"/>
                <w:szCs w:val="22"/>
              </w:rPr>
              <w:t>Mentální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retardace</w:t>
            </w:r>
            <w:proofErr w:type="spellEnd"/>
          </w:p>
          <w:p w14:paraId="622B54EA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  <w:r w:rsidRPr="002743A3">
              <w:rPr>
                <w:rFonts w:cs="Arial"/>
                <w:sz w:val="22"/>
                <w:szCs w:val="22"/>
              </w:rPr>
              <w:t xml:space="preserve">(F79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Neurčená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mentální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retardace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>)</w:t>
            </w:r>
          </w:p>
          <w:p w14:paraId="3365869A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78" w:type="dxa"/>
          </w:tcPr>
          <w:p w14:paraId="58E98382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2743A3">
              <w:rPr>
                <w:rFonts w:cs="Arial"/>
                <w:sz w:val="22"/>
                <w:szCs w:val="22"/>
              </w:rPr>
              <w:t>Zastřešující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dg pro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pacienty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s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mentálním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postižením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bez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specifikace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stupně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>.</w:t>
            </w:r>
          </w:p>
        </w:tc>
      </w:tr>
      <w:tr w:rsidR="002743A3" w:rsidRPr="002743A3" w14:paraId="063A1C67" w14:textId="77777777" w:rsidTr="002743A3">
        <w:trPr>
          <w:jc w:val="center"/>
        </w:trPr>
        <w:tc>
          <w:tcPr>
            <w:tcW w:w="1276" w:type="dxa"/>
          </w:tcPr>
          <w:p w14:paraId="341C3E1E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  <w:r w:rsidRPr="002743A3">
              <w:rPr>
                <w:rFonts w:cs="Arial"/>
                <w:sz w:val="22"/>
                <w:szCs w:val="22"/>
              </w:rPr>
              <w:t>F84</w:t>
            </w:r>
          </w:p>
        </w:tc>
        <w:tc>
          <w:tcPr>
            <w:tcW w:w="3690" w:type="dxa"/>
          </w:tcPr>
          <w:p w14:paraId="3A87CCD5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2743A3">
              <w:rPr>
                <w:rFonts w:cs="Arial"/>
                <w:sz w:val="22"/>
                <w:szCs w:val="22"/>
              </w:rPr>
              <w:t>Pervazivní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vývojové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poruchy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</w:tcPr>
          <w:p w14:paraId="06C9C93F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2743A3">
              <w:rPr>
                <w:rFonts w:cs="Arial"/>
                <w:sz w:val="22"/>
                <w:szCs w:val="22"/>
              </w:rPr>
              <w:t>Zastřešující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dg pro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závažné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neurovývojové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poruchy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(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autismus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apod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>.).</w:t>
            </w:r>
          </w:p>
        </w:tc>
      </w:tr>
      <w:tr w:rsidR="002743A3" w:rsidRPr="002743A3" w14:paraId="33E2F3CA" w14:textId="77777777" w:rsidTr="002743A3">
        <w:trPr>
          <w:jc w:val="center"/>
        </w:trPr>
        <w:tc>
          <w:tcPr>
            <w:tcW w:w="1276" w:type="dxa"/>
          </w:tcPr>
          <w:p w14:paraId="7E605CD4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  <w:r w:rsidRPr="002743A3">
              <w:rPr>
                <w:rFonts w:cs="Arial"/>
                <w:sz w:val="22"/>
                <w:szCs w:val="22"/>
              </w:rPr>
              <w:t>F88</w:t>
            </w:r>
          </w:p>
        </w:tc>
        <w:tc>
          <w:tcPr>
            <w:tcW w:w="3690" w:type="dxa"/>
          </w:tcPr>
          <w:p w14:paraId="51D620CF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2743A3">
              <w:rPr>
                <w:rFonts w:cs="Arial"/>
                <w:sz w:val="22"/>
                <w:szCs w:val="22"/>
              </w:rPr>
              <w:t>Jiné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poruchy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psychického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vývoje</w:t>
            </w:r>
            <w:proofErr w:type="spellEnd"/>
          </w:p>
        </w:tc>
        <w:tc>
          <w:tcPr>
            <w:tcW w:w="4678" w:type="dxa"/>
          </w:tcPr>
          <w:p w14:paraId="1EB57F57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2743A3">
              <w:rPr>
                <w:rFonts w:cs="Arial"/>
                <w:sz w:val="22"/>
                <w:szCs w:val="22"/>
              </w:rPr>
              <w:t>Zastřešující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dg u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pacientů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s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atypickým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nebo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smíšeným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vývojem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>.</w:t>
            </w:r>
          </w:p>
        </w:tc>
      </w:tr>
      <w:tr w:rsidR="002743A3" w:rsidRPr="002743A3" w14:paraId="074C70B7" w14:textId="77777777" w:rsidTr="002743A3">
        <w:trPr>
          <w:jc w:val="center"/>
        </w:trPr>
        <w:tc>
          <w:tcPr>
            <w:tcW w:w="1276" w:type="dxa"/>
          </w:tcPr>
          <w:p w14:paraId="24AF554A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  <w:r w:rsidRPr="002743A3">
              <w:rPr>
                <w:rFonts w:cs="Arial"/>
                <w:sz w:val="22"/>
                <w:szCs w:val="22"/>
              </w:rPr>
              <w:t>F99</w:t>
            </w:r>
          </w:p>
        </w:tc>
        <w:tc>
          <w:tcPr>
            <w:tcW w:w="3690" w:type="dxa"/>
          </w:tcPr>
          <w:p w14:paraId="7567C79B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2743A3">
              <w:rPr>
                <w:rFonts w:cs="Arial"/>
                <w:sz w:val="22"/>
                <w:szCs w:val="22"/>
              </w:rPr>
              <w:t>Duševní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porucha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NS</w:t>
            </w:r>
          </w:p>
          <w:p w14:paraId="29616957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78" w:type="dxa"/>
          </w:tcPr>
          <w:p w14:paraId="1912F4F7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2743A3">
              <w:rPr>
                <w:rFonts w:cs="Arial"/>
                <w:sz w:val="22"/>
                <w:szCs w:val="22"/>
              </w:rPr>
              <w:t>Zastřešující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dg pro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pacienty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s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psychiatrickou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indikací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(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úzkosti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fobie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poruchy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chování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) – s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duševní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poruchou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neurčenou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jinak</w:t>
            </w:r>
            <w:proofErr w:type="spellEnd"/>
          </w:p>
        </w:tc>
      </w:tr>
      <w:tr w:rsidR="002743A3" w:rsidRPr="002743A3" w14:paraId="35CE8ADF" w14:textId="77777777" w:rsidTr="002743A3">
        <w:trPr>
          <w:jc w:val="center"/>
        </w:trPr>
        <w:tc>
          <w:tcPr>
            <w:tcW w:w="1276" w:type="dxa"/>
          </w:tcPr>
          <w:p w14:paraId="1A8CCCD0" w14:textId="77777777" w:rsidR="002743A3" w:rsidRPr="002743A3" w:rsidRDefault="002743A3" w:rsidP="00FE7247">
            <w:pPr>
              <w:rPr>
                <w:rFonts w:cs="Arial"/>
                <w:sz w:val="22"/>
                <w:szCs w:val="22"/>
              </w:rPr>
            </w:pPr>
            <w:r w:rsidRPr="002743A3">
              <w:rPr>
                <w:rFonts w:cs="Arial"/>
                <w:sz w:val="22"/>
                <w:szCs w:val="22"/>
              </w:rPr>
              <w:t>G10–G13</w:t>
            </w:r>
          </w:p>
        </w:tc>
        <w:tc>
          <w:tcPr>
            <w:tcW w:w="3690" w:type="dxa"/>
          </w:tcPr>
          <w:p w14:paraId="269A011C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2743A3">
              <w:rPr>
                <w:rFonts w:cs="Arial"/>
                <w:sz w:val="22"/>
                <w:szCs w:val="22"/>
              </w:rPr>
              <w:t>Systémové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atrofie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CNS</w:t>
            </w:r>
          </w:p>
        </w:tc>
        <w:tc>
          <w:tcPr>
            <w:tcW w:w="4678" w:type="dxa"/>
          </w:tcPr>
          <w:p w14:paraId="7D2955D3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2743A3">
              <w:rPr>
                <w:rFonts w:cs="Arial"/>
                <w:sz w:val="22"/>
                <w:szCs w:val="22"/>
              </w:rPr>
              <w:t>Zastřešující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dg pro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Huntingtonovu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chorobu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   a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další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systémové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atrofie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CNS</w:t>
            </w:r>
          </w:p>
        </w:tc>
      </w:tr>
      <w:tr w:rsidR="002743A3" w:rsidRPr="002743A3" w14:paraId="69301923" w14:textId="77777777" w:rsidTr="002743A3">
        <w:trPr>
          <w:trHeight w:val="632"/>
          <w:jc w:val="center"/>
        </w:trPr>
        <w:tc>
          <w:tcPr>
            <w:tcW w:w="1276" w:type="dxa"/>
          </w:tcPr>
          <w:p w14:paraId="4FB2535E" w14:textId="77777777" w:rsidR="002743A3" w:rsidRPr="002743A3" w:rsidRDefault="002743A3" w:rsidP="00FE7247">
            <w:pPr>
              <w:rPr>
                <w:rFonts w:cs="Arial"/>
                <w:sz w:val="22"/>
                <w:szCs w:val="22"/>
              </w:rPr>
            </w:pPr>
            <w:r w:rsidRPr="002743A3">
              <w:rPr>
                <w:rFonts w:eastAsia="Times New Roman" w:cs="Arial"/>
                <w:sz w:val="22"/>
                <w:szCs w:val="22"/>
              </w:rPr>
              <w:t>G20–G26</w:t>
            </w:r>
          </w:p>
        </w:tc>
        <w:tc>
          <w:tcPr>
            <w:tcW w:w="3690" w:type="dxa"/>
          </w:tcPr>
          <w:p w14:paraId="07352C7F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2743A3">
              <w:rPr>
                <w:rFonts w:eastAsia="Times New Roman" w:cs="Arial"/>
                <w:sz w:val="22"/>
                <w:szCs w:val="22"/>
              </w:rPr>
              <w:t>Extrapyramidové</w:t>
            </w:r>
            <w:proofErr w:type="spellEnd"/>
            <w:r w:rsidRPr="002743A3">
              <w:rPr>
                <w:rFonts w:eastAsia="Times New Roman" w:cs="Arial"/>
                <w:sz w:val="22"/>
                <w:szCs w:val="22"/>
              </w:rPr>
              <w:t xml:space="preserve"> a </w:t>
            </w:r>
            <w:proofErr w:type="spellStart"/>
            <w:r w:rsidRPr="002743A3">
              <w:rPr>
                <w:rFonts w:eastAsia="Times New Roman" w:cs="Arial"/>
                <w:sz w:val="22"/>
                <w:szCs w:val="22"/>
              </w:rPr>
              <w:t>pohybové</w:t>
            </w:r>
            <w:proofErr w:type="spellEnd"/>
            <w:r w:rsidRPr="002743A3">
              <w:rPr>
                <w:rFonts w:eastAsia="Times New Roman"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eastAsia="Times New Roman" w:cs="Arial"/>
                <w:sz w:val="22"/>
                <w:szCs w:val="22"/>
              </w:rPr>
              <w:t>poruchy</w:t>
            </w:r>
            <w:proofErr w:type="spellEnd"/>
          </w:p>
        </w:tc>
        <w:tc>
          <w:tcPr>
            <w:tcW w:w="4678" w:type="dxa"/>
          </w:tcPr>
          <w:p w14:paraId="1DF8B478" w14:textId="77777777" w:rsidR="002743A3" w:rsidRPr="002743A3" w:rsidRDefault="002743A3" w:rsidP="00FE7247">
            <w:pPr>
              <w:rPr>
                <w:rFonts w:cs="Arial"/>
                <w:sz w:val="22"/>
                <w:szCs w:val="22"/>
              </w:rPr>
            </w:pPr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Zastřešující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dg pro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Parkinsonovu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nemoc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dystonie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a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jiné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extrapyramidové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poruchy</w:t>
            </w:r>
            <w:proofErr w:type="spellEnd"/>
          </w:p>
        </w:tc>
      </w:tr>
      <w:tr w:rsidR="002743A3" w:rsidRPr="002743A3" w14:paraId="5A02D3DF" w14:textId="77777777" w:rsidTr="002743A3">
        <w:trPr>
          <w:jc w:val="center"/>
        </w:trPr>
        <w:tc>
          <w:tcPr>
            <w:tcW w:w="1276" w:type="dxa"/>
          </w:tcPr>
          <w:p w14:paraId="754140BC" w14:textId="77777777" w:rsidR="002743A3" w:rsidRPr="002743A3" w:rsidRDefault="002743A3" w:rsidP="00FE7247">
            <w:pPr>
              <w:rPr>
                <w:rFonts w:cs="Arial"/>
                <w:sz w:val="22"/>
                <w:szCs w:val="22"/>
              </w:rPr>
            </w:pPr>
            <w:r w:rsidRPr="002743A3">
              <w:rPr>
                <w:rFonts w:cs="Arial"/>
                <w:sz w:val="22"/>
                <w:szCs w:val="22"/>
              </w:rPr>
              <w:t xml:space="preserve">     G40 </w:t>
            </w:r>
          </w:p>
        </w:tc>
        <w:tc>
          <w:tcPr>
            <w:tcW w:w="3690" w:type="dxa"/>
          </w:tcPr>
          <w:p w14:paraId="635D5126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2743A3">
              <w:rPr>
                <w:rFonts w:cs="Arial"/>
                <w:sz w:val="22"/>
                <w:szCs w:val="22"/>
              </w:rPr>
              <w:t>Poruchy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záchvatové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-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paroxyzmální</w:t>
            </w:r>
            <w:proofErr w:type="spellEnd"/>
          </w:p>
        </w:tc>
        <w:tc>
          <w:tcPr>
            <w:tcW w:w="4678" w:type="dxa"/>
          </w:tcPr>
          <w:p w14:paraId="0DFF0B87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2743A3">
              <w:rPr>
                <w:rFonts w:cs="Arial"/>
                <w:sz w:val="22"/>
                <w:szCs w:val="22"/>
              </w:rPr>
              <w:t>Zastřešující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dg. pro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epileptické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stavy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</w:p>
          <w:p w14:paraId="0C6A0307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2743A3" w:rsidRPr="002743A3" w14:paraId="05E58749" w14:textId="77777777" w:rsidTr="002743A3">
        <w:trPr>
          <w:jc w:val="center"/>
        </w:trPr>
        <w:tc>
          <w:tcPr>
            <w:tcW w:w="1276" w:type="dxa"/>
          </w:tcPr>
          <w:p w14:paraId="3986F1EC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  <w:r w:rsidRPr="002743A3">
              <w:rPr>
                <w:rFonts w:cs="Arial"/>
                <w:sz w:val="22"/>
                <w:szCs w:val="22"/>
              </w:rPr>
              <w:t>G80</w:t>
            </w:r>
          </w:p>
        </w:tc>
        <w:tc>
          <w:tcPr>
            <w:tcW w:w="3690" w:type="dxa"/>
          </w:tcPr>
          <w:p w14:paraId="08FBB165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2743A3">
              <w:rPr>
                <w:rFonts w:cs="Arial"/>
                <w:sz w:val="22"/>
                <w:szCs w:val="22"/>
              </w:rPr>
              <w:t>Mozková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obrna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(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různé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formy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4678" w:type="dxa"/>
          </w:tcPr>
          <w:p w14:paraId="3AD12E2F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2743A3">
              <w:rPr>
                <w:rFonts w:cs="Arial"/>
                <w:sz w:val="22"/>
                <w:szCs w:val="22"/>
              </w:rPr>
              <w:t>Zastřešující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dg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při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spastické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dyskinetické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ataktické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formě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;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převážně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s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tělesným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postižením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>.</w:t>
            </w:r>
          </w:p>
        </w:tc>
      </w:tr>
      <w:tr w:rsidR="002743A3" w:rsidRPr="002743A3" w14:paraId="4BBF830F" w14:textId="77777777" w:rsidTr="002743A3">
        <w:trPr>
          <w:jc w:val="center"/>
        </w:trPr>
        <w:tc>
          <w:tcPr>
            <w:tcW w:w="1276" w:type="dxa"/>
          </w:tcPr>
          <w:p w14:paraId="5183B690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  <w:r w:rsidRPr="002743A3">
              <w:rPr>
                <w:rFonts w:cs="Arial"/>
                <w:sz w:val="22"/>
                <w:szCs w:val="22"/>
              </w:rPr>
              <w:t>G81</w:t>
            </w:r>
          </w:p>
        </w:tc>
        <w:tc>
          <w:tcPr>
            <w:tcW w:w="3690" w:type="dxa"/>
          </w:tcPr>
          <w:p w14:paraId="44FF913F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2743A3">
              <w:rPr>
                <w:rFonts w:cs="Arial"/>
                <w:sz w:val="22"/>
                <w:szCs w:val="22"/>
              </w:rPr>
              <w:t>Hemiplegie</w:t>
            </w:r>
            <w:proofErr w:type="spellEnd"/>
          </w:p>
        </w:tc>
        <w:tc>
          <w:tcPr>
            <w:tcW w:w="4678" w:type="dxa"/>
          </w:tcPr>
          <w:p w14:paraId="1B73FD0C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2743A3">
              <w:rPr>
                <w:rFonts w:cs="Arial"/>
                <w:sz w:val="22"/>
                <w:szCs w:val="22"/>
              </w:rPr>
              <w:t>Jednostranné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ochrnutí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chabé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nebo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spastické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včetně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nespecifikované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formy</w:t>
            </w:r>
            <w:proofErr w:type="spellEnd"/>
          </w:p>
        </w:tc>
      </w:tr>
      <w:tr w:rsidR="002743A3" w:rsidRPr="002743A3" w14:paraId="206D728F" w14:textId="77777777" w:rsidTr="002743A3">
        <w:trPr>
          <w:jc w:val="center"/>
        </w:trPr>
        <w:tc>
          <w:tcPr>
            <w:tcW w:w="1276" w:type="dxa"/>
          </w:tcPr>
          <w:p w14:paraId="0D13BE27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  <w:r w:rsidRPr="002743A3">
              <w:rPr>
                <w:rFonts w:cs="Arial"/>
                <w:sz w:val="22"/>
                <w:szCs w:val="22"/>
              </w:rPr>
              <w:lastRenderedPageBreak/>
              <w:t>G82</w:t>
            </w:r>
          </w:p>
        </w:tc>
        <w:tc>
          <w:tcPr>
            <w:tcW w:w="3690" w:type="dxa"/>
          </w:tcPr>
          <w:p w14:paraId="4972A0A1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2743A3">
              <w:rPr>
                <w:rFonts w:cs="Arial"/>
                <w:sz w:val="22"/>
                <w:szCs w:val="22"/>
              </w:rPr>
              <w:t>Paraplegie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a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tetraplegie</w:t>
            </w:r>
            <w:proofErr w:type="spellEnd"/>
          </w:p>
        </w:tc>
        <w:tc>
          <w:tcPr>
            <w:tcW w:w="4678" w:type="dxa"/>
          </w:tcPr>
          <w:p w14:paraId="4D891EBF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2743A3">
              <w:rPr>
                <w:rFonts w:cs="Arial"/>
                <w:sz w:val="22"/>
                <w:szCs w:val="22"/>
              </w:rPr>
              <w:t>Ochrnutí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dolních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nebo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všech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končetin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různé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formy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>.</w:t>
            </w:r>
          </w:p>
        </w:tc>
      </w:tr>
      <w:tr w:rsidR="002743A3" w:rsidRPr="002743A3" w14:paraId="3D487040" w14:textId="77777777" w:rsidTr="002743A3">
        <w:trPr>
          <w:jc w:val="center"/>
        </w:trPr>
        <w:tc>
          <w:tcPr>
            <w:tcW w:w="1276" w:type="dxa"/>
          </w:tcPr>
          <w:p w14:paraId="21D0A461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  <w:r w:rsidRPr="002743A3">
              <w:rPr>
                <w:rFonts w:cs="Arial"/>
                <w:sz w:val="22"/>
                <w:szCs w:val="22"/>
              </w:rPr>
              <w:t>G98</w:t>
            </w:r>
          </w:p>
        </w:tc>
        <w:tc>
          <w:tcPr>
            <w:tcW w:w="3690" w:type="dxa"/>
          </w:tcPr>
          <w:p w14:paraId="5C3EDB34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2743A3">
              <w:rPr>
                <w:rFonts w:cs="Arial"/>
                <w:sz w:val="22"/>
                <w:szCs w:val="22"/>
              </w:rPr>
              <w:t>Jiné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poruchy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nervové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soustavy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nezařazené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jinde</w:t>
            </w:r>
            <w:proofErr w:type="spellEnd"/>
          </w:p>
        </w:tc>
        <w:tc>
          <w:tcPr>
            <w:tcW w:w="4678" w:type="dxa"/>
          </w:tcPr>
          <w:p w14:paraId="726C3C0B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2743A3">
              <w:rPr>
                <w:rFonts w:cs="Arial"/>
                <w:sz w:val="22"/>
                <w:szCs w:val="22"/>
              </w:rPr>
              <w:t>Zastřešující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dg pro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neurčené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nebo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smíšené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neurologické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postižení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>.</w:t>
            </w:r>
          </w:p>
        </w:tc>
      </w:tr>
      <w:tr w:rsidR="002743A3" w:rsidRPr="002743A3" w14:paraId="0B360DE5" w14:textId="77777777" w:rsidTr="002743A3">
        <w:tblPrEx>
          <w:jc w:val="left"/>
        </w:tblPrEx>
        <w:tc>
          <w:tcPr>
            <w:tcW w:w="1276" w:type="dxa"/>
          </w:tcPr>
          <w:p w14:paraId="1F0723A4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  <w:r w:rsidRPr="002743A3">
              <w:rPr>
                <w:rFonts w:cs="Arial"/>
                <w:sz w:val="22"/>
                <w:szCs w:val="22"/>
              </w:rPr>
              <w:t>Z73.9</w:t>
            </w:r>
          </w:p>
        </w:tc>
        <w:tc>
          <w:tcPr>
            <w:tcW w:w="3690" w:type="dxa"/>
          </w:tcPr>
          <w:p w14:paraId="6FEEFCA1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2743A3">
              <w:rPr>
                <w:rFonts w:cs="Arial"/>
                <w:sz w:val="22"/>
                <w:szCs w:val="22"/>
              </w:rPr>
              <w:t>Problémy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spojené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s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neurčenou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obtížností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při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vedení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života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NS</w:t>
            </w:r>
          </w:p>
          <w:p w14:paraId="3E5E9337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78" w:type="dxa"/>
          </w:tcPr>
          <w:p w14:paraId="4D428005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2743A3">
              <w:rPr>
                <w:rFonts w:cs="Arial"/>
                <w:sz w:val="22"/>
                <w:szCs w:val="22"/>
              </w:rPr>
              <w:t>Univerzální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dg pro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nespolupráci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neklid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neschopnost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spolupráce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(u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dětí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>)</w:t>
            </w:r>
          </w:p>
        </w:tc>
      </w:tr>
      <w:tr w:rsidR="002743A3" w:rsidRPr="002743A3" w14:paraId="442DC3EC" w14:textId="77777777" w:rsidTr="002743A3">
        <w:tblPrEx>
          <w:jc w:val="left"/>
        </w:tblPrEx>
        <w:tc>
          <w:tcPr>
            <w:tcW w:w="1276" w:type="dxa"/>
          </w:tcPr>
          <w:p w14:paraId="33BFC802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  <w:r w:rsidRPr="002743A3">
              <w:rPr>
                <w:rFonts w:cs="Arial"/>
                <w:sz w:val="22"/>
                <w:szCs w:val="22"/>
              </w:rPr>
              <w:t>Z88.4</w:t>
            </w:r>
          </w:p>
        </w:tc>
        <w:tc>
          <w:tcPr>
            <w:tcW w:w="3690" w:type="dxa"/>
          </w:tcPr>
          <w:p w14:paraId="5F68C8F2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2743A3">
              <w:rPr>
                <w:rFonts w:cs="Arial"/>
                <w:sz w:val="22"/>
                <w:szCs w:val="22"/>
              </w:rPr>
              <w:t>Alergie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na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anestetický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prostředek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v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osobní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anamnéze</w:t>
            </w:r>
            <w:proofErr w:type="spellEnd"/>
          </w:p>
        </w:tc>
        <w:tc>
          <w:tcPr>
            <w:tcW w:w="4678" w:type="dxa"/>
          </w:tcPr>
          <w:p w14:paraId="51F1CC0C" w14:textId="77777777" w:rsidR="002743A3" w:rsidRPr="002743A3" w:rsidRDefault="002743A3" w:rsidP="00FE7247">
            <w:pPr>
              <w:jc w:val="center"/>
              <w:rPr>
                <w:rFonts w:cs="Arial"/>
                <w:sz w:val="22"/>
                <w:szCs w:val="22"/>
              </w:rPr>
            </w:pPr>
            <w:r w:rsidRPr="002743A3">
              <w:rPr>
                <w:rFonts w:cs="Arial"/>
                <w:sz w:val="22"/>
                <w:szCs w:val="22"/>
              </w:rPr>
              <w:t xml:space="preserve">Dg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vykazovaná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při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alergii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na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lokální</w:t>
            </w:r>
            <w:proofErr w:type="spellEnd"/>
            <w:r w:rsidRPr="002743A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743A3">
              <w:rPr>
                <w:rFonts w:cs="Arial"/>
                <w:sz w:val="22"/>
                <w:szCs w:val="22"/>
              </w:rPr>
              <w:t>anestetika</w:t>
            </w:r>
            <w:proofErr w:type="spellEnd"/>
          </w:p>
        </w:tc>
      </w:tr>
    </w:tbl>
    <w:p w14:paraId="0AB6A277" w14:textId="77777777" w:rsidR="002743A3" w:rsidRDefault="002743A3" w:rsidP="00FE7247">
      <w:pPr>
        <w:pStyle w:val="Odstavecseseznamem"/>
        <w:keepNext/>
        <w:keepLines/>
        <w:spacing w:after="120" w:line="300" w:lineRule="exact"/>
        <w:ind w:left="284"/>
        <w:contextualSpacing w:val="0"/>
        <w:jc w:val="both"/>
        <w:outlineLvl w:val="0"/>
        <w:rPr>
          <w:rFonts w:ascii="Arial" w:eastAsia="MS Gothic" w:hAnsi="Arial" w:cs="Arial"/>
          <w:b/>
          <w:bCs/>
          <w:color w:val="7030A0"/>
          <w:kern w:val="0"/>
          <w14:ligatures w14:val="none"/>
        </w:rPr>
      </w:pPr>
    </w:p>
    <w:p w14:paraId="71823166" w14:textId="371DBBB3" w:rsidR="002743A3" w:rsidRPr="002743A3" w:rsidRDefault="002743A3" w:rsidP="00FE7247">
      <w:pPr>
        <w:pStyle w:val="Odstavecseseznamem"/>
        <w:keepNext/>
        <w:keepLines/>
        <w:numPr>
          <w:ilvl w:val="0"/>
          <w:numId w:val="9"/>
        </w:numPr>
        <w:spacing w:after="120" w:line="300" w:lineRule="exact"/>
        <w:ind w:left="284" w:hanging="284"/>
        <w:contextualSpacing w:val="0"/>
        <w:jc w:val="both"/>
        <w:outlineLvl w:val="0"/>
        <w:rPr>
          <w:rFonts w:ascii="Arial" w:eastAsia="MS Gothic" w:hAnsi="Arial" w:cs="Arial"/>
          <w:b/>
          <w:bCs/>
          <w:color w:val="7030A0"/>
          <w:kern w:val="0"/>
          <w14:ligatures w14:val="none"/>
        </w:rPr>
      </w:pPr>
      <w:r w:rsidRPr="002743A3">
        <w:rPr>
          <w:rFonts w:ascii="Arial" w:eastAsia="MS Gothic" w:hAnsi="Arial" w:cs="Arial"/>
          <w:b/>
          <w:bCs/>
          <w:color w:val="7030A0"/>
          <w:kern w:val="0"/>
          <w14:ligatures w14:val="none"/>
        </w:rPr>
        <w:t>Požadavky na minimální personální zajištění:</w:t>
      </w:r>
    </w:p>
    <w:p w14:paraId="2AAE1343" w14:textId="77777777" w:rsidR="002743A3" w:rsidRPr="002743A3" w:rsidRDefault="002743A3" w:rsidP="00FE7247">
      <w:pPr>
        <w:pStyle w:val="Odstavecseseznamem"/>
        <w:numPr>
          <w:ilvl w:val="0"/>
          <w:numId w:val="4"/>
        </w:numPr>
        <w:spacing w:after="120" w:line="300" w:lineRule="exact"/>
        <w:rPr>
          <w:rFonts w:ascii="Arial" w:eastAsia="MS Mincho" w:hAnsi="Arial" w:cs="Arial"/>
          <w:kern w:val="0"/>
          <w14:ligatures w14:val="none"/>
        </w:rPr>
      </w:pPr>
      <w:r w:rsidRPr="002743A3">
        <w:rPr>
          <w:rFonts w:ascii="Arial" w:eastAsia="MS Mincho" w:hAnsi="Arial" w:cs="Arial"/>
          <w:kern w:val="0"/>
          <w14:ligatures w14:val="none"/>
        </w:rPr>
        <w:t xml:space="preserve">zubní lékař s osvědčením PZL a jeho asistence (další zubní lékař, zdravotní sestra, zubní instrumentářka) </w:t>
      </w:r>
    </w:p>
    <w:p w14:paraId="7325B8E5" w14:textId="77777777" w:rsidR="002743A3" w:rsidRPr="002743A3" w:rsidRDefault="002743A3" w:rsidP="00FE7247">
      <w:pPr>
        <w:pStyle w:val="Odstavecseseznamem"/>
        <w:numPr>
          <w:ilvl w:val="0"/>
          <w:numId w:val="4"/>
        </w:numPr>
        <w:spacing w:after="120" w:line="300" w:lineRule="exact"/>
        <w:rPr>
          <w:rFonts w:ascii="Arial" w:eastAsia="MS Mincho" w:hAnsi="Arial" w:cs="Arial"/>
          <w:kern w:val="0"/>
          <w14:ligatures w14:val="none"/>
        </w:rPr>
      </w:pPr>
      <w:r w:rsidRPr="002743A3">
        <w:rPr>
          <w:rFonts w:ascii="Arial" w:eastAsia="MS Mincho" w:hAnsi="Arial" w:cs="Arial"/>
          <w:kern w:val="0"/>
          <w14:ligatures w14:val="none"/>
        </w:rPr>
        <w:t>anesteziolog</w:t>
      </w:r>
    </w:p>
    <w:p w14:paraId="093314F1" w14:textId="77777777" w:rsidR="002743A3" w:rsidRPr="002743A3" w:rsidRDefault="002743A3" w:rsidP="00FE7247">
      <w:pPr>
        <w:pStyle w:val="Odstavecseseznamem"/>
        <w:numPr>
          <w:ilvl w:val="0"/>
          <w:numId w:val="4"/>
        </w:numPr>
        <w:spacing w:after="120" w:line="300" w:lineRule="exact"/>
        <w:rPr>
          <w:rFonts w:ascii="Arial" w:eastAsia="MS Mincho" w:hAnsi="Arial" w:cs="Arial"/>
          <w:kern w:val="0"/>
          <w14:ligatures w14:val="none"/>
        </w:rPr>
      </w:pPr>
      <w:r w:rsidRPr="002743A3">
        <w:rPr>
          <w:rFonts w:ascii="Arial" w:eastAsia="MS Mincho" w:hAnsi="Arial" w:cs="Arial"/>
          <w:kern w:val="0"/>
          <w14:ligatures w14:val="none"/>
        </w:rPr>
        <w:t xml:space="preserve">zdravotní sestra </w:t>
      </w:r>
    </w:p>
    <w:p w14:paraId="07B71CD3" w14:textId="77777777" w:rsidR="002743A3" w:rsidRPr="002743A3" w:rsidRDefault="002743A3" w:rsidP="00FE7247">
      <w:pPr>
        <w:pStyle w:val="Odstavecseseznamem"/>
        <w:numPr>
          <w:ilvl w:val="0"/>
          <w:numId w:val="4"/>
        </w:numPr>
        <w:spacing w:after="240" w:line="300" w:lineRule="exact"/>
        <w:rPr>
          <w:rFonts w:ascii="Arial" w:eastAsia="MS Mincho" w:hAnsi="Arial" w:cs="Arial"/>
          <w:kern w:val="0"/>
          <w14:ligatures w14:val="none"/>
        </w:rPr>
      </w:pPr>
      <w:r w:rsidRPr="002743A3">
        <w:rPr>
          <w:rFonts w:ascii="Arial" w:eastAsia="MS Mincho" w:hAnsi="Arial" w:cs="Arial"/>
          <w:kern w:val="0"/>
          <w14:ligatures w14:val="none"/>
        </w:rPr>
        <w:t>pediatr (u dětských pacientů s komplikacemi) – volitelné</w:t>
      </w:r>
    </w:p>
    <w:p w14:paraId="16D971C5" w14:textId="77777777" w:rsidR="002743A3" w:rsidRPr="002743A3" w:rsidRDefault="002743A3" w:rsidP="00FE7247">
      <w:pPr>
        <w:ind w:left="360"/>
        <w:rPr>
          <w:rFonts w:cs="Arial"/>
          <w:sz w:val="22"/>
        </w:rPr>
      </w:pPr>
      <w:r w:rsidRPr="002743A3">
        <w:rPr>
          <w:rFonts w:cs="Arial"/>
          <w:sz w:val="22"/>
        </w:rPr>
        <w:t>Poskytovatel doloží časově platné dokumenty, že každý člen týmu pracoviště stomatologického ambulantního ošetření v CA je proškolen v kardiopulmonální resuscitaci.</w:t>
      </w:r>
    </w:p>
    <w:p w14:paraId="2EEE3F00" w14:textId="77777777" w:rsidR="002743A3" w:rsidRPr="002743A3" w:rsidRDefault="002743A3" w:rsidP="00FE7247">
      <w:pPr>
        <w:spacing w:after="120"/>
        <w:ind w:left="357"/>
        <w:rPr>
          <w:rFonts w:cs="Arial"/>
          <w:sz w:val="22"/>
          <w:u w:val="single"/>
          <w:lang w:bidi="cs-CZ"/>
        </w:rPr>
      </w:pPr>
      <w:r w:rsidRPr="002743A3">
        <w:rPr>
          <w:rFonts w:cs="Arial"/>
          <w:sz w:val="22"/>
          <w:u w:val="single"/>
          <w:lang w:bidi="cs-CZ"/>
        </w:rPr>
        <w:t>Odpovědnosti (dle doporučení ČSK):</w:t>
      </w:r>
    </w:p>
    <w:p w14:paraId="04F3B1D4" w14:textId="77777777" w:rsidR="002743A3" w:rsidRPr="002743A3" w:rsidRDefault="002743A3" w:rsidP="00FE7247">
      <w:pPr>
        <w:numPr>
          <w:ilvl w:val="0"/>
          <w:numId w:val="10"/>
        </w:numPr>
        <w:spacing w:after="160"/>
        <w:rPr>
          <w:rFonts w:cs="Arial"/>
          <w:sz w:val="22"/>
        </w:rPr>
      </w:pPr>
      <w:r w:rsidRPr="002743A3">
        <w:rPr>
          <w:rFonts w:cs="Arial"/>
          <w:sz w:val="22"/>
        </w:rPr>
        <w:t>Zubní lékař odpovídá za indikaci CA z hlediska stomatologického, provedení výkonu a řešení stomatologických komplikací.</w:t>
      </w:r>
    </w:p>
    <w:p w14:paraId="13F9C8CB" w14:textId="77777777" w:rsidR="002743A3" w:rsidRPr="002743A3" w:rsidRDefault="002743A3" w:rsidP="00FE7247">
      <w:pPr>
        <w:pStyle w:val="Default"/>
        <w:numPr>
          <w:ilvl w:val="0"/>
          <w:numId w:val="10"/>
        </w:numPr>
        <w:spacing w:line="300" w:lineRule="exact"/>
        <w:rPr>
          <w:rFonts w:ascii="Arial" w:hAnsi="Arial" w:cs="Arial"/>
          <w:sz w:val="22"/>
          <w:szCs w:val="22"/>
        </w:rPr>
      </w:pPr>
      <w:r w:rsidRPr="002743A3">
        <w:rPr>
          <w:rFonts w:ascii="Arial" w:hAnsi="Arial" w:cs="Arial"/>
          <w:sz w:val="22"/>
          <w:szCs w:val="22"/>
        </w:rPr>
        <w:t xml:space="preserve">Anesteziolog, případně pediatr, rozhoduje o stabilitě pacienta během a po výkonu, okamžiku předání z anesteziologické péče nebo propuštění do domácí péče a zajišťuje kontakt pro případ komplikací. </w:t>
      </w:r>
    </w:p>
    <w:p w14:paraId="7098BEC1" w14:textId="77777777" w:rsidR="002743A3" w:rsidRPr="002743A3" w:rsidRDefault="002743A3" w:rsidP="00FE7247">
      <w:pPr>
        <w:pStyle w:val="Default"/>
        <w:spacing w:line="300" w:lineRule="exact"/>
        <w:ind w:left="720"/>
        <w:rPr>
          <w:rFonts w:ascii="Arial" w:hAnsi="Arial" w:cs="Arial"/>
          <w:sz w:val="22"/>
          <w:szCs w:val="22"/>
        </w:rPr>
      </w:pPr>
    </w:p>
    <w:p w14:paraId="2EDAD5FE" w14:textId="77777777" w:rsidR="002743A3" w:rsidRPr="002743A3" w:rsidRDefault="002743A3" w:rsidP="00FE7247">
      <w:pPr>
        <w:pStyle w:val="Odstavecseseznamem"/>
        <w:keepNext/>
        <w:keepLines/>
        <w:numPr>
          <w:ilvl w:val="0"/>
          <w:numId w:val="9"/>
        </w:numPr>
        <w:spacing w:after="120" w:line="300" w:lineRule="exact"/>
        <w:ind w:left="284" w:hanging="284"/>
        <w:contextualSpacing w:val="0"/>
        <w:jc w:val="both"/>
        <w:outlineLvl w:val="0"/>
        <w:rPr>
          <w:rFonts w:ascii="Arial" w:eastAsia="MS Gothic" w:hAnsi="Arial" w:cs="Arial"/>
          <w:b/>
          <w:bCs/>
          <w:color w:val="7030A0"/>
          <w:kern w:val="0"/>
          <w14:ligatures w14:val="none"/>
        </w:rPr>
      </w:pPr>
      <w:r w:rsidRPr="002743A3">
        <w:rPr>
          <w:rFonts w:ascii="Arial" w:eastAsia="MS Gothic" w:hAnsi="Arial" w:cs="Arial"/>
          <w:b/>
          <w:bCs/>
          <w:color w:val="7030A0"/>
          <w:kern w:val="0"/>
          <w14:ligatures w14:val="none"/>
        </w:rPr>
        <w:t>Požadavky na technické a věcné vybavení:</w:t>
      </w:r>
    </w:p>
    <w:p w14:paraId="1C50500F" w14:textId="77777777" w:rsidR="002743A3" w:rsidRPr="002743A3" w:rsidRDefault="002743A3" w:rsidP="00FE7247">
      <w:pPr>
        <w:pStyle w:val="Odstavecseseznamem"/>
        <w:numPr>
          <w:ilvl w:val="0"/>
          <w:numId w:val="5"/>
        </w:numPr>
        <w:spacing w:after="200" w:line="300" w:lineRule="exact"/>
        <w:rPr>
          <w:rFonts w:ascii="Arial" w:eastAsia="MS Mincho" w:hAnsi="Arial" w:cs="Arial"/>
          <w:kern w:val="0"/>
          <w14:ligatures w14:val="none"/>
        </w:rPr>
      </w:pPr>
      <w:r w:rsidRPr="002743A3">
        <w:rPr>
          <w:rFonts w:ascii="Arial" w:eastAsia="MS Mincho" w:hAnsi="Arial" w:cs="Arial"/>
          <w:kern w:val="0"/>
          <w14:ligatures w14:val="none"/>
        </w:rPr>
        <w:t>odpovídající monitorace pacienta v souladu s doporučeným postupem ČSARIM „Zásady bezpečné anesteziologické praxe“</w:t>
      </w:r>
    </w:p>
    <w:p w14:paraId="501C20AC" w14:textId="77777777" w:rsidR="002743A3" w:rsidRPr="002743A3" w:rsidRDefault="002743A3" w:rsidP="00FE7247">
      <w:pPr>
        <w:pStyle w:val="Odstavecseseznamem"/>
        <w:numPr>
          <w:ilvl w:val="0"/>
          <w:numId w:val="5"/>
        </w:numPr>
        <w:spacing w:after="200" w:line="300" w:lineRule="exact"/>
        <w:jc w:val="both"/>
        <w:rPr>
          <w:rFonts w:ascii="Arial" w:eastAsia="MS Mincho" w:hAnsi="Arial" w:cs="Arial"/>
          <w:kern w:val="0"/>
          <w14:ligatures w14:val="none"/>
        </w:rPr>
      </w:pPr>
      <w:r w:rsidRPr="002743A3">
        <w:rPr>
          <w:rFonts w:ascii="Arial" w:eastAsia="MS Mincho" w:hAnsi="Arial" w:cs="Arial"/>
          <w:kern w:val="0"/>
          <w14:ligatures w14:val="none"/>
        </w:rPr>
        <w:t>prostředí odpovídající hygienickým a bezpečnostním normám pro anestezii s umožněním horizontálního transportu a přístupu více členů k pacientovi</w:t>
      </w:r>
    </w:p>
    <w:p w14:paraId="621E3C6D" w14:textId="77777777" w:rsidR="002743A3" w:rsidRPr="002743A3" w:rsidRDefault="002743A3" w:rsidP="00FE7247">
      <w:pPr>
        <w:pStyle w:val="Odstavecseseznamem"/>
        <w:numPr>
          <w:ilvl w:val="0"/>
          <w:numId w:val="5"/>
        </w:numPr>
        <w:spacing w:after="200" w:line="300" w:lineRule="exact"/>
        <w:jc w:val="both"/>
        <w:rPr>
          <w:rFonts w:ascii="Arial" w:eastAsia="MS Mincho" w:hAnsi="Arial" w:cs="Arial"/>
          <w:kern w:val="0"/>
          <w14:ligatures w14:val="none"/>
        </w:rPr>
      </w:pPr>
      <w:proofErr w:type="spellStart"/>
      <w:r w:rsidRPr="002743A3">
        <w:rPr>
          <w:rFonts w:ascii="Arial" w:eastAsia="MS Mincho" w:hAnsi="Arial" w:cs="Arial"/>
          <w:kern w:val="0"/>
          <w14:ligatures w14:val="none"/>
        </w:rPr>
        <w:t>dospávací</w:t>
      </w:r>
      <w:proofErr w:type="spellEnd"/>
      <w:r w:rsidRPr="002743A3">
        <w:rPr>
          <w:rFonts w:ascii="Arial" w:eastAsia="MS Mincho" w:hAnsi="Arial" w:cs="Arial"/>
          <w:kern w:val="0"/>
          <w14:ligatures w14:val="none"/>
        </w:rPr>
        <w:t xml:space="preserve"> místnost, kdy dospávání probíhá pod odborným dohledem do úplné stabilizace, dle rozhodnutí anesteziologa min. 2 hodiny</w:t>
      </w:r>
    </w:p>
    <w:p w14:paraId="3D01088D" w14:textId="77777777" w:rsidR="002743A3" w:rsidRPr="002743A3" w:rsidRDefault="002743A3" w:rsidP="00FE7247">
      <w:pPr>
        <w:pStyle w:val="Odstavecseseznamem"/>
        <w:numPr>
          <w:ilvl w:val="0"/>
          <w:numId w:val="5"/>
        </w:numPr>
        <w:spacing w:after="200" w:line="300" w:lineRule="exact"/>
        <w:jc w:val="both"/>
        <w:rPr>
          <w:rFonts w:ascii="Arial" w:eastAsia="MS Mincho" w:hAnsi="Arial" w:cs="Arial"/>
          <w:kern w:val="0"/>
          <w14:ligatures w14:val="none"/>
        </w:rPr>
      </w:pPr>
      <w:r w:rsidRPr="002743A3">
        <w:rPr>
          <w:rFonts w:ascii="Arial" w:eastAsia="MS Mincho" w:hAnsi="Arial" w:cs="Arial"/>
          <w:kern w:val="0"/>
          <w14:ligatures w14:val="none"/>
        </w:rPr>
        <w:t>přístrojová monitorace pro každého pacienta</w:t>
      </w:r>
    </w:p>
    <w:p w14:paraId="6BB1D2BA" w14:textId="77777777" w:rsidR="002743A3" w:rsidRPr="002743A3" w:rsidRDefault="002743A3" w:rsidP="00FE7247">
      <w:pPr>
        <w:pStyle w:val="Odstavecseseznamem"/>
        <w:numPr>
          <w:ilvl w:val="0"/>
          <w:numId w:val="5"/>
        </w:numPr>
        <w:spacing w:after="200" w:line="300" w:lineRule="exact"/>
        <w:jc w:val="both"/>
        <w:rPr>
          <w:rFonts w:ascii="Arial" w:eastAsia="MS Mincho" w:hAnsi="Arial" w:cs="Arial"/>
          <w:kern w:val="0"/>
          <w14:ligatures w14:val="none"/>
        </w:rPr>
      </w:pPr>
      <w:r w:rsidRPr="002743A3">
        <w:rPr>
          <w:rFonts w:ascii="Arial" w:eastAsia="MS Mincho" w:hAnsi="Arial" w:cs="Arial"/>
          <w:kern w:val="0"/>
          <w14:ligatures w14:val="none"/>
        </w:rPr>
        <w:t>umožnění přítomnosti zákonných zástupců a osob blízkých v souladu se zákonem o zdravotních službách</w:t>
      </w:r>
    </w:p>
    <w:p w14:paraId="1FEE0AAE" w14:textId="77777777" w:rsidR="002743A3" w:rsidRPr="002743A3" w:rsidRDefault="002743A3" w:rsidP="00FE7247">
      <w:pPr>
        <w:pStyle w:val="Odstavecseseznamem"/>
        <w:spacing w:after="200" w:line="300" w:lineRule="exact"/>
        <w:jc w:val="both"/>
        <w:rPr>
          <w:rFonts w:ascii="Arial" w:eastAsia="MS Mincho" w:hAnsi="Arial" w:cs="Arial"/>
          <w:kern w:val="0"/>
          <w14:ligatures w14:val="none"/>
        </w:rPr>
      </w:pPr>
    </w:p>
    <w:p w14:paraId="0A1C7846" w14:textId="77777777" w:rsidR="002743A3" w:rsidRPr="002743A3" w:rsidRDefault="002743A3" w:rsidP="00FE7247">
      <w:pPr>
        <w:pStyle w:val="Odstavecseseznamem"/>
        <w:keepNext/>
        <w:keepLines/>
        <w:numPr>
          <w:ilvl w:val="0"/>
          <w:numId w:val="9"/>
        </w:numPr>
        <w:spacing w:after="120" w:line="300" w:lineRule="exact"/>
        <w:ind w:left="284" w:hanging="284"/>
        <w:contextualSpacing w:val="0"/>
        <w:jc w:val="both"/>
        <w:outlineLvl w:val="0"/>
        <w:rPr>
          <w:rFonts w:ascii="Arial" w:eastAsia="MS Gothic" w:hAnsi="Arial" w:cs="Arial"/>
          <w:b/>
          <w:bCs/>
          <w:color w:val="7030A0"/>
          <w:kern w:val="0"/>
          <w14:ligatures w14:val="none"/>
        </w:rPr>
      </w:pPr>
      <w:r w:rsidRPr="002743A3">
        <w:rPr>
          <w:rFonts w:ascii="Arial" w:eastAsia="MS Gothic" w:hAnsi="Arial" w:cs="Arial"/>
          <w:b/>
          <w:bCs/>
          <w:color w:val="7030A0"/>
          <w:kern w:val="0"/>
          <w14:ligatures w14:val="none"/>
        </w:rPr>
        <w:t>Podmínky nasmlouvání – navržené výkony a úhrada:</w:t>
      </w:r>
    </w:p>
    <w:p w14:paraId="013EDEB7" w14:textId="77777777" w:rsidR="002743A3" w:rsidRPr="002743A3" w:rsidRDefault="002743A3" w:rsidP="00FE7247">
      <w:pPr>
        <w:pStyle w:val="Odstavecseseznamem"/>
        <w:keepNext/>
        <w:keepLines/>
        <w:numPr>
          <w:ilvl w:val="0"/>
          <w:numId w:val="1"/>
        </w:numPr>
        <w:spacing w:before="200" w:after="120" w:line="300" w:lineRule="exact"/>
        <w:jc w:val="both"/>
        <w:outlineLvl w:val="1"/>
        <w:rPr>
          <w:rFonts w:ascii="Arial" w:eastAsia="MS Mincho" w:hAnsi="Arial" w:cs="Arial"/>
          <w:kern w:val="0"/>
          <w14:ligatures w14:val="none"/>
        </w:rPr>
      </w:pPr>
      <w:r w:rsidRPr="002743A3">
        <w:rPr>
          <w:rFonts w:ascii="Arial" w:eastAsia="MS Mincho" w:hAnsi="Arial" w:cs="Arial"/>
          <w:kern w:val="0"/>
          <w14:ligatures w14:val="none"/>
        </w:rPr>
        <w:t>nasmlouvání na základě žádosti viz. Příloha č. 1, která bude projednána v KPTS s ohledem na zajištění kapacity pro poskytování ošetření v CA a s ohledem na rovnoměrné rozmístění na území ČR</w:t>
      </w:r>
    </w:p>
    <w:p w14:paraId="63F2B851" w14:textId="77777777" w:rsidR="002743A3" w:rsidRPr="002743A3" w:rsidRDefault="002743A3" w:rsidP="00FE7247">
      <w:pPr>
        <w:pStyle w:val="Odstavecseseznamem"/>
        <w:keepNext/>
        <w:keepLines/>
        <w:numPr>
          <w:ilvl w:val="0"/>
          <w:numId w:val="1"/>
        </w:numPr>
        <w:spacing w:before="200" w:after="120" w:line="300" w:lineRule="exact"/>
        <w:jc w:val="both"/>
        <w:outlineLvl w:val="1"/>
        <w:rPr>
          <w:rFonts w:ascii="Arial" w:eastAsia="MS Mincho" w:hAnsi="Arial" w:cs="Arial"/>
          <w:kern w:val="0"/>
          <w14:ligatures w14:val="none"/>
        </w:rPr>
      </w:pPr>
      <w:r w:rsidRPr="002743A3">
        <w:rPr>
          <w:rFonts w:ascii="Arial" w:eastAsia="MS Mincho" w:hAnsi="Arial" w:cs="Arial"/>
          <w:kern w:val="0"/>
          <w14:ligatures w14:val="none"/>
        </w:rPr>
        <w:t>ošetření v CA je hrazeno agregovanou úhradou dle níže uvedených výkonů</w:t>
      </w:r>
    </w:p>
    <w:p w14:paraId="7195F136" w14:textId="77777777" w:rsidR="002743A3" w:rsidRPr="002743A3" w:rsidRDefault="002743A3" w:rsidP="00FE7247">
      <w:pPr>
        <w:pStyle w:val="Odstavecseseznamem"/>
        <w:keepNext/>
        <w:keepLines/>
        <w:numPr>
          <w:ilvl w:val="0"/>
          <w:numId w:val="1"/>
        </w:numPr>
        <w:spacing w:after="0" w:line="300" w:lineRule="exact"/>
        <w:jc w:val="both"/>
        <w:outlineLvl w:val="1"/>
        <w:rPr>
          <w:rFonts w:ascii="Arial" w:eastAsia="MS Mincho" w:hAnsi="Arial" w:cs="Arial"/>
          <w:kern w:val="0"/>
          <w14:ligatures w14:val="none"/>
        </w:rPr>
      </w:pPr>
      <w:r w:rsidRPr="002743A3">
        <w:rPr>
          <w:rFonts w:ascii="Arial" w:eastAsia="MS Mincho" w:hAnsi="Arial" w:cs="Arial"/>
          <w:kern w:val="0"/>
          <w14:ligatures w14:val="none"/>
        </w:rPr>
        <w:t>výkony budou nasmlouvány na samostatné IČP</w:t>
      </w:r>
    </w:p>
    <w:p w14:paraId="20539E9A" w14:textId="77777777" w:rsidR="002743A3" w:rsidRPr="002743A3" w:rsidRDefault="002743A3" w:rsidP="00FE7247">
      <w:pPr>
        <w:keepNext/>
        <w:keepLines/>
        <w:spacing w:after="120"/>
        <w:outlineLvl w:val="1"/>
        <w:rPr>
          <w:rFonts w:eastAsia="MS Mincho" w:cs="Arial"/>
          <w:sz w:val="22"/>
        </w:rPr>
      </w:pPr>
    </w:p>
    <w:p w14:paraId="42F848B2" w14:textId="77777777" w:rsidR="002743A3" w:rsidRPr="002743A3" w:rsidRDefault="002743A3" w:rsidP="00FE7247">
      <w:pPr>
        <w:keepNext/>
        <w:keepLines/>
        <w:spacing w:before="120" w:after="0"/>
        <w:outlineLvl w:val="1"/>
        <w:rPr>
          <w:rFonts w:cs="Arial"/>
          <w:sz w:val="22"/>
        </w:rPr>
      </w:pPr>
      <w:r w:rsidRPr="002743A3">
        <w:rPr>
          <w:rFonts w:cs="Arial"/>
          <w:b/>
          <w:sz w:val="22"/>
        </w:rPr>
        <w:t>00854</w:t>
      </w:r>
      <w:r w:rsidRPr="002743A3">
        <w:rPr>
          <w:rFonts w:cs="Arial"/>
          <w:sz w:val="22"/>
        </w:rPr>
        <w:t xml:space="preserve"> - (VZP) Agregovaný výkon stomatologického ambulantního ošetření v celkové anestezii nebo </w:t>
      </w:r>
      <w:proofErr w:type="spellStart"/>
      <w:r w:rsidRPr="002743A3">
        <w:rPr>
          <w:rFonts w:cs="Arial"/>
          <w:sz w:val="22"/>
        </w:rPr>
        <w:t>analgosedaci</w:t>
      </w:r>
      <w:proofErr w:type="spellEnd"/>
      <w:r w:rsidRPr="002743A3">
        <w:rPr>
          <w:rFonts w:cs="Arial"/>
          <w:sz w:val="22"/>
        </w:rPr>
        <w:t xml:space="preserve"> s dobou výkonu do 30 minut</w:t>
      </w:r>
    </w:p>
    <w:p w14:paraId="4A09AAD5" w14:textId="77777777" w:rsidR="002743A3" w:rsidRPr="002743A3" w:rsidRDefault="002743A3" w:rsidP="00FE7247">
      <w:pPr>
        <w:keepNext/>
        <w:keepLines/>
        <w:spacing w:after="0"/>
        <w:outlineLvl w:val="1"/>
        <w:rPr>
          <w:rFonts w:cs="Arial"/>
          <w:b/>
          <w:sz w:val="22"/>
        </w:rPr>
      </w:pPr>
      <w:r w:rsidRPr="002743A3">
        <w:rPr>
          <w:rFonts w:cs="Arial"/>
          <w:b/>
          <w:sz w:val="22"/>
        </w:rPr>
        <w:t>Cena: 10 000 Kč</w:t>
      </w:r>
    </w:p>
    <w:p w14:paraId="6FEB82DF" w14:textId="77777777" w:rsidR="002743A3" w:rsidRPr="002743A3" w:rsidRDefault="002743A3" w:rsidP="00FE7247">
      <w:pPr>
        <w:keepNext/>
        <w:keepLines/>
        <w:spacing w:after="0"/>
        <w:outlineLvl w:val="1"/>
        <w:rPr>
          <w:rFonts w:cs="Arial"/>
          <w:sz w:val="22"/>
        </w:rPr>
      </w:pPr>
    </w:p>
    <w:p w14:paraId="39088884" w14:textId="77777777" w:rsidR="002743A3" w:rsidRPr="002743A3" w:rsidRDefault="002743A3" w:rsidP="00FE7247">
      <w:pPr>
        <w:keepNext/>
        <w:keepLines/>
        <w:spacing w:after="0"/>
        <w:outlineLvl w:val="1"/>
        <w:rPr>
          <w:rFonts w:cs="Arial"/>
          <w:sz w:val="22"/>
        </w:rPr>
      </w:pPr>
      <w:r w:rsidRPr="002743A3">
        <w:rPr>
          <w:rFonts w:cs="Arial"/>
          <w:b/>
          <w:sz w:val="22"/>
        </w:rPr>
        <w:t>00855</w:t>
      </w:r>
      <w:r w:rsidRPr="002743A3">
        <w:rPr>
          <w:rFonts w:cs="Arial"/>
          <w:sz w:val="22"/>
        </w:rPr>
        <w:t xml:space="preserve"> - (VZP) Agregovaný výkon stomatologického ambulantního ošetření v celkové anestezii nebo </w:t>
      </w:r>
      <w:proofErr w:type="spellStart"/>
      <w:r w:rsidRPr="002743A3">
        <w:rPr>
          <w:rFonts w:cs="Arial"/>
          <w:sz w:val="22"/>
        </w:rPr>
        <w:t>analgosedaci</w:t>
      </w:r>
      <w:proofErr w:type="spellEnd"/>
      <w:r w:rsidRPr="002743A3">
        <w:rPr>
          <w:rFonts w:cs="Arial"/>
          <w:sz w:val="22"/>
        </w:rPr>
        <w:t xml:space="preserve"> s dobou výkonu do 90 minut</w:t>
      </w:r>
    </w:p>
    <w:p w14:paraId="176A1230" w14:textId="77777777" w:rsidR="002743A3" w:rsidRPr="002743A3" w:rsidRDefault="002743A3" w:rsidP="00FE7247">
      <w:pPr>
        <w:keepNext/>
        <w:keepLines/>
        <w:spacing w:after="0"/>
        <w:outlineLvl w:val="1"/>
        <w:rPr>
          <w:rFonts w:cs="Arial"/>
          <w:b/>
          <w:sz w:val="22"/>
        </w:rPr>
      </w:pPr>
      <w:r w:rsidRPr="002743A3">
        <w:rPr>
          <w:rFonts w:cs="Arial"/>
          <w:b/>
          <w:sz w:val="22"/>
        </w:rPr>
        <w:t>Cena: 25 000 Kč</w:t>
      </w:r>
    </w:p>
    <w:p w14:paraId="5B4873EF" w14:textId="77777777" w:rsidR="002743A3" w:rsidRPr="002743A3" w:rsidRDefault="002743A3" w:rsidP="00FE7247">
      <w:pPr>
        <w:keepNext/>
        <w:keepLines/>
        <w:spacing w:before="200" w:after="0"/>
        <w:outlineLvl w:val="1"/>
        <w:rPr>
          <w:rFonts w:cs="Arial"/>
          <w:sz w:val="22"/>
        </w:rPr>
      </w:pPr>
      <w:r w:rsidRPr="002743A3">
        <w:rPr>
          <w:rFonts w:cs="Arial"/>
          <w:b/>
          <w:sz w:val="22"/>
        </w:rPr>
        <w:t>00856</w:t>
      </w:r>
      <w:r w:rsidRPr="002743A3">
        <w:rPr>
          <w:rFonts w:cs="Arial"/>
          <w:sz w:val="22"/>
        </w:rPr>
        <w:t xml:space="preserve"> – (VZP) Agregovaný výkon stomatologického ambulantního ošetření v celkové anestezii nebo </w:t>
      </w:r>
      <w:proofErr w:type="spellStart"/>
      <w:r w:rsidRPr="002743A3">
        <w:rPr>
          <w:rFonts w:cs="Arial"/>
          <w:sz w:val="22"/>
        </w:rPr>
        <w:t>analgosedaci</w:t>
      </w:r>
      <w:proofErr w:type="spellEnd"/>
      <w:r w:rsidRPr="002743A3">
        <w:rPr>
          <w:rFonts w:cs="Arial"/>
          <w:sz w:val="22"/>
        </w:rPr>
        <w:t xml:space="preserve"> s dobou výkonu nad 90 minut</w:t>
      </w:r>
    </w:p>
    <w:p w14:paraId="05947005" w14:textId="77777777" w:rsidR="002743A3" w:rsidRPr="002743A3" w:rsidRDefault="002743A3" w:rsidP="00FE7247">
      <w:pPr>
        <w:keepNext/>
        <w:keepLines/>
        <w:spacing w:after="0"/>
        <w:outlineLvl w:val="1"/>
        <w:rPr>
          <w:rFonts w:eastAsia="MS Mincho" w:cs="Arial"/>
          <w:b/>
          <w:sz w:val="22"/>
        </w:rPr>
      </w:pPr>
      <w:r w:rsidRPr="002743A3">
        <w:rPr>
          <w:rFonts w:cs="Arial"/>
          <w:b/>
          <w:sz w:val="22"/>
        </w:rPr>
        <w:t>Cena: 32 000 Kč</w:t>
      </w:r>
    </w:p>
    <w:p w14:paraId="2A9A1B47" w14:textId="77777777" w:rsidR="002743A3" w:rsidRPr="002743A3" w:rsidRDefault="002743A3" w:rsidP="00FE7247">
      <w:pPr>
        <w:spacing w:before="120" w:after="0"/>
        <w:rPr>
          <w:rFonts w:eastAsia="MS Mincho" w:cs="Arial"/>
          <w:sz w:val="22"/>
        </w:rPr>
      </w:pPr>
      <w:r w:rsidRPr="002743A3">
        <w:rPr>
          <w:rFonts w:eastAsia="MS Mincho" w:cs="Arial"/>
          <w:sz w:val="22"/>
          <w:u w:val="single"/>
        </w:rPr>
        <w:t>V úhradě je zahrnuto</w:t>
      </w:r>
      <w:r w:rsidRPr="002743A3">
        <w:rPr>
          <w:rFonts w:eastAsia="MS Mincho" w:cs="Arial"/>
          <w:sz w:val="22"/>
        </w:rPr>
        <w:t xml:space="preserve">: </w:t>
      </w:r>
    </w:p>
    <w:p w14:paraId="751533C1" w14:textId="77777777" w:rsidR="002743A3" w:rsidRPr="002743A3" w:rsidRDefault="002743A3" w:rsidP="00FE7247">
      <w:pPr>
        <w:pStyle w:val="Odstavecseseznamem"/>
        <w:numPr>
          <w:ilvl w:val="0"/>
          <w:numId w:val="7"/>
        </w:numPr>
        <w:spacing w:before="120" w:after="200" w:line="300" w:lineRule="exact"/>
        <w:jc w:val="both"/>
        <w:rPr>
          <w:rFonts w:ascii="Arial" w:eastAsia="MS Mincho" w:hAnsi="Arial" w:cs="Arial"/>
          <w:kern w:val="0"/>
          <w14:ligatures w14:val="none"/>
        </w:rPr>
      </w:pPr>
      <w:r w:rsidRPr="002743A3">
        <w:rPr>
          <w:rFonts w:ascii="Arial" w:eastAsia="MS Mincho" w:hAnsi="Arial" w:cs="Arial"/>
          <w:kern w:val="0"/>
          <w14:ligatures w14:val="none"/>
        </w:rPr>
        <w:t>stomatologické výkony</w:t>
      </w:r>
    </w:p>
    <w:p w14:paraId="496F5F76" w14:textId="77777777" w:rsidR="002743A3" w:rsidRPr="002743A3" w:rsidRDefault="002743A3" w:rsidP="00FE7247">
      <w:pPr>
        <w:pStyle w:val="Odstavecseseznamem"/>
        <w:numPr>
          <w:ilvl w:val="0"/>
          <w:numId w:val="7"/>
        </w:numPr>
        <w:spacing w:before="120" w:after="200" w:line="300" w:lineRule="exact"/>
        <w:jc w:val="both"/>
        <w:rPr>
          <w:rFonts w:ascii="Arial" w:eastAsia="MS Mincho" w:hAnsi="Arial" w:cs="Arial"/>
          <w:kern w:val="0"/>
          <w14:ligatures w14:val="none"/>
        </w:rPr>
      </w:pPr>
      <w:r w:rsidRPr="002743A3">
        <w:rPr>
          <w:rFonts w:ascii="Arial" w:eastAsia="MS Mincho" w:hAnsi="Arial" w:cs="Arial"/>
          <w:kern w:val="0"/>
          <w14:ligatures w14:val="none"/>
        </w:rPr>
        <w:t>ZULP a materiály</w:t>
      </w:r>
    </w:p>
    <w:p w14:paraId="50ADFE85" w14:textId="77777777" w:rsidR="002743A3" w:rsidRPr="002743A3" w:rsidRDefault="002743A3" w:rsidP="00FE7247">
      <w:pPr>
        <w:pStyle w:val="Odstavecseseznamem"/>
        <w:numPr>
          <w:ilvl w:val="0"/>
          <w:numId w:val="7"/>
        </w:numPr>
        <w:spacing w:before="120" w:after="200" w:line="300" w:lineRule="exact"/>
        <w:jc w:val="both"/>
        <w:rPr>
          <w:rFonts w:ascii="Arial" w:eastAsia="MS Mincho" w:hAnsi="Arial" w:cs="Arial"/>
          <w:kern w:val="0"/>
          <w14:ligatures w14:val="none"/>
        </w:rPr>
      </w:pPr>
      <w:r w:rsidRPr="002743A3">
        <w:rPr>
          <w:rFonts w:ascii="Arial" w:eastAsia="MS Mincho" w:hAnsi="Arial" w:cs="Arial"/>
          <w:kern w:val="0"/>
          <w14:ligatures w14:val="none"/>
        </w:rPr>
        <w:t>anesteziologická a doprovodná péče</w:t>
      </w:r>
    </w:p>
    <w:p w14:paraId="3E0A0730" w14:textId="77777777" w:rsidR="002743A3" w:rsidRPr="002743A3" w:rsidRDefault="002743A3" w:rsidP="00FE7247">
      <w:pPr>
        <w:pStyle w:val="Odstavecseseznamem"/>
        <w:numPr>
          <w:ilvl w:val="0"/>
          <w:numId w:val="7"/>
        </w:numPr>
        <w:spacing w:before="120" w:after="200" w:line="300" w:lineRule="exact"/>
        <w:jc w:val="both"/>
        <w:rPr>
          <w:rFonts w:ascii="Arial" w:eastAsia="MS Mincho" w:hAnsi="Arial" w:cs="Arial"/>
          <w:kern w:val="0"/>
          <w14:ligatures w14:val="none"/>
        </w:rPr>
      </w:pPr>
      <w:r w:rsidRPr="002743A3">
        <w:rPr>
          <w:rFonts w:ascii="Arial" w:eastAsia="MS Mincho" w:hAnsi="Arial" w:cs="Arial"/>
          <w:kern w:val="0"/>
          <w14:ligatures w14:val="none"/>
        </w:rPr>
        <w:t>observace po výkonu do propuštění</w:t>
      </w:r>
    </w:p>
    <w:p w14:paraId="21C2923C" w14:textId="77777777" w:rsidR="002743A3" w:rsidRPr="002743A3" w:rsidRDefault="002743A3" w:rsidP="00FE7247">
      <w:pPr>
        <w:spacing w:before="120" w:after="200"/>
        <w:rPr>
          <w:rFonts w:eastAsia="MS Mincho" w:cs="Arial"/>
          <w:sz w:val="22"/>
        </w:rPr>
      </w:pPr>
      <w:r w:rsidRPr="002743A3">
        <w:rPr>
          <w:rFonts w:eastAsia="MS Mincho" w:cs="Arial"/>
          <w:sz w:val="22"/>
        </w:rPr>
        <w:t>Poskytovatelé vykazují všechny související výkony, léky a materiály. Tyto údaje budou použity pouze pro vyhodnocení projektu (nejsou hrazeny zvlášť).</w:t>
      </w:r>
    </w:p>
    <w:p w14:paraId="4070BA73" w14:textId="77777777" w:rsidR="002743A3" w:rsidRPr="002743A3" w:rsidRDefault="002743A3" w:rsidP="00FE7247">
      <w:pPr>
        <w:spacing w:before="120" w:after="200"/>
        <w:rPr>
          <w:rFonts w:eastAsia="MS Mincho" w:cs="Arial"/>
          <w:sz w:val="22"/>
        </w:rPr>
      </w:pPr>
      <w:r w:rsidRPr="002743A3">
        <w:rPr>
          <w:rFonts w:eastAsia="MS Mincho" w:cs="Arial"/>
          <w:sz w:val="22"/>
        </w:rPr>
        <w:t>Poskytovatelům bude nabídnut samostatný úhradový dodatek</w:t>
      </w:r>
    </w:p>
    <w:p w14:paraId="02CDB80B" w14:textId="4B9D7312" w:rsidR="002743A3" w:rsidRPr="002743A3" w:rsidRDefault="002743A3" w:rsidP="00FE7247">
      <w:pPr>
        <w:pStyle w:val="Odstavecseseznamem"/>
        <w:keepNext/>
        <w:keepLines/>
        <w:numPr>
          <w:ilvl w:val="0"/>
          <w:numId w:val="9"/>
        </w:numPr>
        <w:spacing w:after="120" w:line="300" w:lineRule="exact"/>
        <w:ind w:left="284" w:hanging="284"/>
        <w:contextualSpacing w:val="0"/>
        <w:jc w:val="both"/>
        <w:outlineLvl w:val="0"/>
        <w:rPr>
          <w:rFonts w:ascii="Arial" w:eastAsia="MS Gothic" w:hAnsi="Arial" w:cs="Arial"/>
          <w:b/>
          <w:bCs/>
          <w:color w:val="7030A0"/>
          <w:kern w:val="0"/>
          <w14:ligatures w14:val="none"/>
        </w:rPr>
      </w:pPr>
      <w:r w:rsidRPr="002743A3">
        <w:rPr>
          <w:rFonts w:ascii="Arial" w:eastAsia="MS Gothic" w:hAnsi="Arial" w:cs="Arial"/>
          <w:b/>
          <w:bCs/>
          <w:color w:val="7030A0"/>
          <w:kern w:val="0"/>
          <w14:ligatures w14:val="none"/>
        </w:rPr>
        <w:t xml:space="preserve">Minimální požadavky na vedení zdravotnické dokumentace </w:t>
      </w:r>
    </w:p>
    <w:p w14:paraId="291A21BD" w14:textId="77777777" w:rsidR="002743A3" w:rsidRPr="002743A3" w:rsidRDefault="002743A3" w:rsidP="00FE7247">
      <w:pPr>
        <w:pStyle w:val="Default"/>
        <w:spacing w:line="300" w:lineRule="exact"/>
        <w:rPr>
          <w:rFonts w:ascii="Arial" w:eastAsia="MS Mincho" w:hAnsi="Arial" w:cs="Arial"/>
          <w:color w:val="auto"/>
          <w:sz w:val="22"/>
          <w:szCs w:val="22"/>
          <w14:ligatures w14:val="none"/>
        </w:rPr>
      </w:pPr>
      <w:r w:rsidRPr="002743A3">
        <w:rPr>
          <w:rFonts w:ascii="Arial" w:eastAsia="MS Mincho" w:hAnsi="Arial" w:cs="Arial"/>
          <w:color w:val="auto"/>
          <w:sz w:val="22"/>
          <w:szCs w:val="22"/>
          <w14:ligatures w14:val="none"/>
        </w:rPr>
        <w:t xml:space="preserve">V souvislosti s vykazováním provedených hrazených služeb v rámci agregovaných výkonů 00854, 00855 a 00856 je potřeba, aby zdravotnická dokumentace obsahovala následující údaje: </w:t>
      </w:r>
    </w:p>
    <w:p w14:paraId="6A8D1BCA" w14:textId="77777777" w:rsidR="002743A3" w:rsidRPr="002743A3" w:rsidRDefault="002743A3" w:rsidP="00FE7247">
      <w:pPr>
        <w:pStyle w:val="Odstavecseseznamem"/>
        <w:numPr>
          <w:ilvl w:val="0"/>
          <w:numId w:val="8"/>
        </w:numPr>
        <w:spacing w:after="0" w:line="300" w:lineRule="exact"/>
        <w:jc w:val="both"/>
        <w:rPr>
          <w:rFonts w:ascii="Arial" w:hAnsi="Arial" w:cs="Arial"/>
        </w:rPr>
      </w:pPr>
      <w:r w:rsidRPr="002743A3">
        <w:rPr>
          <w:rFonts w:ascii="Arial" w:hAnsi="Arial" w:cs="Arial"/>
        </w:rPr>
        <w:t xml:space="preserve">Uvedení důvodu nemožnosti ošetření v lokální anestezii včetně rozhodnutí o indikaci zubním lékařem a anesteziologem. </w:t>
      </w:r>
    </w:p>
    <w:p w14:paraId="426FF3D7" w14:textId="77777777" w:rsidR="002743A3" w:rsidRPr="002743A3" w:rsidRDefault="002743A3" w:rsidP="00FE7247">
      <w:pPr>
        <w:pStyle w:val="Odstavecseseznamem"/>
        <w:numPr>
          <w:ilvl w:val="0"/>
          <w:numId w:val="8"/>
        </w:numPr>
        <w:spacing w:after="0" w:line="300" w:lineRule="exact"/>
        <w:jc w:val="both"/>
        <w:rPr>
          <w:rFonts w:ascii="Arial" w:hAnsi="Arial" w:cs="Arial"/>
        </w:rPr>
      </w:pPr>
      <w:r w:rsidRPr="002743A3">
        <w:rPr>
          <w:rFonts w:ascii="Arial" w:hAnsi="Arial" w:cs="Arial"/>
        </w:rPr>
        <w:t xml:space="preserve">Uvedení diagnózy dle MKN-10 v souladu s výše uvedenou Tabulkou definovaných diagnóz jako zástupců pro jednotlivé skupiny diagnóz dle MKN-10, se kterými lze vykazovat </w:t>
      </w:r>
      <w:proofErr w:type="spellStart"/>
      <w:r w:rsidRPr="002743A3">
        <w:rPr>
          <w:rFonts w:ascii="Arial" w:hAnsi="Arial" w:cs="Arial"/>
        </w:rPr>
        <w:t>stom</w:t>
      </w:r>
      <w:proofErr w:type="spellEnd"/>
      <w:r w:rsidRPr="002743A3">
        <w:rPr>
          <w:rFonts w:ascii="Arial" w:hAnsi="Arial" w:cs="Arial"/>
        </w:rPr>
        <w:t xml:space="preserve">. </w:t>
      </w:r>
      <w:proofErr w:type="spellStart"/>
      <w:r w:rsidRPr="002743A3">
        <w:rPr>
          <w:rFonts w:ascii="Arial" w:hAnsi="Arial" w:cs="Arial"/>
        </w:rPr>
        <w:t>amb</w:t>
      </w:r>
      <w:proofErr w:type="spellEnd"/>
      <w:r w:rsidRPr="002743A3">
        <w:rPr>
          <w:rFonts w:ascii="Arial" w:hAnsi="Arial" w:cs="Arial"/>
        </w:rPr>
        <w:t xml:space="preserve">. ošetření v CA. </w:t>
      </w:r>
    </w:p>
    <w:p w14:paraId="5BEA68AE" w14:textId="77777777" w:rsidR="002743A3" w:rsidRPr="002743A3" w:rsidRDefault="002743A3" w:rsidP="00FE7247">
      <w:pPr>
        <w:pStyle w:val="Odstavecseseznamem"/>
        <w:numPr>
          <w:ilvl w:val="0"/>
          <w:numId w:val="8"/>
        </w:numPr>
        <w:spacing w:after="0" w:line="300" w:lineRule="exact"/>
        <w:jc w:val="both"/>
        <w:rPr>
          <w:rFonts w:ascii="Arial" w:hAnsi="Arial" w:cs="Arial"/>
        </w:rPr>
      </w:pPr>
      <w:r w:rsidRPr="002743A3">
        <w:rPr>
          <w:rFonts w:ascii="Arial" w:hAnsi="Arial" w:cs="Arial"/>
        </w:rPr>
        <w:t xml:space="preserve">Záznam o nevhodnosti nebo o vyčerpání méně invazivních alternativ (např. </w:t>
      </w:r>
      <w:proofErr w:type="spellStart"/>
      <w:r w:rsidRPr="002743A3">
        <w:rPr>
          <w:rFonts w:ascii="Arial" w:hAnsi="Arial" w:cs="Arial"/>
        </w:rPr>
        <w:t>sedace</w:t>
      </w:r>
      <w:proofErr w:type="spellEnd"/>
      <w:r w:rsidRPr="002743A3">
        <w:rPr>
          <w:rFonts w:ascii="Arial" w:hAnsi="Arial" w:cs="Arial"/>
        </w:rPr>
        <w:t xml:space="preserve"> midazolamem/oxidem dusným) u dětí s neschopností spolupráce v důsledku věku nebo psychomotorického vývoje </w:t>
      </w:r>
    </w:p>
    <w:p w14:paraId="4ABEB26D" w14:textId="77777777" w:rsidR="002743A3" w:rsidRPr="002743A3" w:rsidRDefault="002743A3" w:rsidP="00FE7247">
      <w:pPr>
        <w:pStyle w:val="Odstavecseseznamem"/>
        <w:spacing w:after="0" w:line="300" w:lineRule="exact"/>
        <w:jc w:val="both"/>
        <w:rPr>
          <w:rFonts w:ascii="Arial" w:hAnsi="Arial" w:cs="Arial"/>
        </w:rPr>
      </w:pPr>
    </w:p>
    <w:p w14:paraId="10CFE9ED" w14:textId="77777777" w:rsidR="002743A3" w:rsidRPr="002743A3" w:rsidRDefault="002743A3" w:rsidP="00FE7247">
      <w:pPr>
        <w:spacing w:after="0"/>
        <w:rPr>
          <w:rFonts w:eastAsia="MS Mincho" w:cs="Arial"/>
          <w:sz w:val="22"/>
        </w:rPr>
      </w:pPr>
      <w:r w:rsidRPr="002743A3">
        <w:rPr>
          <w:rFonts w:eastAsia="MS Mincho" w:cs="Arial"/>
          <w:sz w:val="22"/>
        </w:rPr>
        <w:t xml:space="preserve">Záznam o provedených výkonech v rámci agregovaného výkonu musí obsahovat: </w:t>
      </w:r>
    </w:p>
    <w:p w14:paraId="134DD2E9" w14:textId="77777777" w:rsidR="002743A3" w:rsidRPr="002743A3" w:rsidRDefault="002743A3" w:rsidP="00FE7247">
      <w:pPr>
        <w:pStyle w:val="Odstavecseseznamem"/>
        <w:numPr>
          <w:ilvl w:val="0"/>
          <w:numId w:val="8"/>
        </w:numPr>
        <w:spacing w:after="0" w:line="300" w:lineRule="exact"/>
        <w:jc w:val="both"/>
        <w:rPr>
          <w:rFonts w:ascii="Arial" w:hAnsi="Arial" w:cs="Arial"/>
        </w:rPr>
      </w:pPr>
      <w:r w:rsidRPr="002743A3">
        <w:rPr>
          <w:rFonts w:ascii="Arial" w:hAnsi="Arial" w:cs="Arial"/>
        </w:rPr>
        <w:lastRenderedPageBreak/>
        <w:t xml:space="preserve">Čas zahájení stomatologického ošetření a čas ukončení (pro kontrolu časového rozsahu agregovaných výkonů– 00854, 00855, 00856). </w:t>
      </w:r>
    </w:p>
    <w:p w14:paraId="2BA0F5C2" w14:textId="77777777" w:rsidR="002743A3" w:rsidRPr="002743A3" w:rsidRDefault="002743A3" w:rsidP="00FE7247">
      <w:pPr>
        <w:pStyle w:val="Odstavecseseznamem"/>
        <w:numPr>
          <w:ilvl w:val="0"/>
          <w:numId w:val="8"/>
        </w:numPr>
        <w:spacing w:after="0" w:line="300" w:lineRule="exact"/>
        <w:jc w:val="both"/>
        <w:rPr>
          <w:rFonts w:ascii="Arial" w:hAnsi="Arial" w:cs="Arial"/>
        </w:rPr>
      </w:pPr>
      <w:r w:rsidRPr="002743A3">
        <w:rPr>
          <w:rFonts w:ascii="Arial" w:hAnsi="Arial" w:cs="Arial"/>
        </w:rPr>
        <w:t xml:space="preserve">Monitorace v souladu s doporučením ČSARIM („Zásady bezpečné anesteziologické péče“) - anesteziologický záznam je přílohou dokumentace. </w:t>
      </w:r>
    </w:p>
    <w:p w14:paraId="5900E765" w14:textId="77777777" w:rsidR="002743A3" w:rsidRPr="002743A3" w:rsidRDefault="002743A3" w:rsidP="00FE7247">
      <w:pPr>
        <w:pStyle w:val="Odstavecseseznamem"/>
        <w:numPr>
          <w:ilvl w:val="0"/>
          <w:numId w:val="8"/>
        </w:numPr>
        <w:spacing w:after="0" w:line="300" w:lineRule="exact"/>
        <w:jc w:val="both"/>
        <w:rPr>
          <w:rFonts w:ascii="Arial" w:hAnsi="Arial" w:cs="Arial"/>
        </w:rPr>
      </w:pPr>
      <w:r w:rsidRPr="002743A3">
        <w:rPr>
          <w:rFonts w:ascii="Arial" w:hAnsi="Arial" w:cs="Arial"/>
        </w:rPr>
        <w:t xml:space="preserve">Čas ukončení dospávání, včetně průběhu. </w:t>
      </w:r>
    </w:p>
    <w:p w14:paraId="12B9F851" w14:textId="77777777" w:rsidR="002743A3" w:rsidRPr="002743A3" w:rsidRDefault="002743A3" w:rsidP="00FE7247">
      <w:pPr>
        <w:pStyle w:val="Odstavecseseznamem"/>
        <w:numPr>
          <w:ilvl w:val="0"/>
          <w:numId w:val="8"/>
        </w:numPr>
        <w:spacing w:after="0" w:line="300" w:lineRule="exact"/>
        <w:jc w:val="both"/>
        <w:rPr>
          <w:rFonts w:ascii="Arial" w:hAnsi="Arial" w:cs="Arial"/>
        </w:rPr>
      </w:pPr>
      <w:r w:rsidRPr="002743A3">
        <w:rPr>
          <w:rFonts w:ascii="Arial" w:hAnsi="Arial" w:cs="Arial"/>
        </w:rPr>
        <w:t xml:space="preserve">Záznam o všech provedených stomatologických výkonech v rámci daného agregovaného výkonu </w:t>
      </w:r>
    </w:p>
    <w:p w14:paraId="0378011D" w14:textId="77777777" w:rsidR="002743A3" w:rsidRPr="002743A3" w:rsidRDefault="002743A3" w:rsidP="00FE7247">
      <w:pPr>
        <w:pStyle w:val="Odstavecseseznamem"/>
        <w:spacing w:after="0" w:line="300" w:lineRule="exact"/>
        <w:ind w:left="284"/>
        <w:contextualSpacing w:val="0"/>
        <w:jc w:val="both"/>
        <w:rPr>
          <w:rFonts w:ascii="Arial" w:eastAsia="MS Mincho" w:hAnsi="Arial" w:cs="Arial"/>
          <w:kern w:val="0"/>
          <w14:ligatures w14:val="none"/>
        </w:rPr>
      </w:pPr>
    </w:p>
    <w:p w14:paraId="2DCF662A" w14:textId="77777777" w:rsidR="002743A3" w:rsidRPr="002743A3" w:rsidRDefault="002743A3" w:rsidP="00FE7247">
      <w:pPr>
        <w:pStyle w:val="Odstavecseseznamem"/>
        <w:keepNext/>
        <w:keepLines/>
        <w:numPr>
          <w:ilvl w:val="0"/>
          <w:numId w:val="9"/>
        </w:numPr>
        <w:spacing w:after="120" w:line="300" w:lineRule="exact"/>
        <w:ind w:left="284" w:hanging="284"/>
        <w:contextualSpacing w:val="0"/>
        <w:jc w:val="both"/>
        <w:outlineLvl w:val="0"/>
        <w:rPr>
          <w:rFonts w:ascii="Arial" w:eastAsia="MS Gothic" w:hAnsi="Arial" w:cs="Arial"/>
          <w:b/>
          <w:bCs/>
          <w:color w:val="7030A0"/>
          <w:kern w:val="0"/>
          <w14:ligatures w14:val="none"/>
        </w:rPr>
      </w:pPr>
      <w:r w:rsidRPr="002743A3">
        <w:rPr>
          <w:rFonts w:ascii="Arial" w:eastAsia="MS Gothic" w:hAnsi="Arial" w:cs="Arial"/>
          <w:b/>
          <w:bCs/>
          <w:color w:val="7030A0"/>
          <w:kern w:val="0"/>
          <w14:ligatures w14:val="none"/>
        </w:rPr>
        <w:t>Požadavky na minimální počet provedených výkonů:</w:t>
      </w:r>
    </w:p>
    <w:p w14:paraId="088F2EAE" w14:textId="77777777" w:rsidR="002743A3" w:rsidRPr="002743A3" w:rsidRDefault="002743A3" w:rsidP="00FE7247">
      <w:pPr>
        <w:spacing w:after="0"/>
        <w:rPr>
          <w:rFonts w:eastAsia="MS Mincho" w:cs="Arial"/>
          <w:sz w:val="22"/>
        </w:rPr>
      </w:pPr>
      <w:r w:rsidRPr="002743A3">
        <w:rPr>
          <w:rFonts w:eastAsia="MS Mincho" w:cs="Arial"/>
          <w:sz w:val="22"/>
          <w:u w:val="single"/>
        </w:rPr>
        <w:t>Uvedené počty za rok</w:t>
      </w:r>
      <w:r w:rsidRPr="002743A3">
        <w:rPr>
          <w:rFonts w:eastAsia="MS Mincho" w:cs="Arial"/>
          <w:sz w:val="22"/>
        </w:rPr>
        <w:t>:</w:t>
      </w:r>
    </w:p>
    <w:p w14:paraId="77FE7F62" w14:textId="77777777" w:rsidR="002743A3" w:rsidRPr="002743A3" w:rsidRDefault="002743A3" w:rsidP="00FE7247">
      <w:pPr>
        <w:pStyle w:val="Odstavecseseznamem"/>
        <w:keepNext/>
        <w:keepLines/>
        <w:numPr>
          <w:ilvl w:val="0"/>
          <w:numId w:val="6"/>
        </w:numPr>
        <w:spacing w:after="120" w:line="300" w:lineRule="exact"/>
        <w:jc w:val="both"/>
        <w:outlineLvl w:val="1"/>
        <w:rPr>
          <w:rFonts w:ascii="Arial" w:eastAsia="MS Gothic" w:hAnsi="Arial" w:cs="Arial"/>
          <w:kern w:val="0"/>
          <w14:ligatures w14:val="none"/>
        </w:rPr>
      </w:pPr>
      <w:r w:rsidRPr="002743A3">
        <w:rPr>
          <w:rFonts w:ascii="Arial" w:eastAsia="MS Gothic" w:hAnsi="Arial" w:cs="Arial"/>
          <w:kern w:val="0"/>
          <w14:ligatures w14:val="none"/>
        </w:rPr>
        <w:t>minimálně 150 výkonů 00854 nebo 00855 nebo 00858 za všechny zdravotní pojišťovny</w:t>
      </w:r>
    </w:p>
    <w:p w14:paraId="7969B8F3" w14:textId="77777777" w:rsidR="002743A3" w:rsidRPr="002743A3" w:rsidRDefault="002743A3" w:rsidP="00FE7247">
      <w:pPr>
        <w:pStyle w:val="Odstavecseseznamem"/>
        <w:keepNext/>
        <w:keepLines/>
        <w:numPr>
          <w:ilvl w:val="0"/>
          <w:numId w:val="6"/>
        </w:numPr>
        <w:spacing w:after="120" w:line="300" w:lineRule="exact"/>
        <w:jc w:val="both"/>
        <w:outlineLvl w:val="1"/>
        <w:rPr>
          <w:rFonts w:ascii="Arial" w:eastAsia="MS Gothic" w:hAnsi="Arial" w:cs="Arial"/>
          <w:kern w:val="0"/>
          <w14:ligatures w14:val="none"/>
        </w:rPr>
      </w:pPr>
      <w:r w:rsidRPr="002743A3">
        <w:rPr>
          <w:rFonts w:ascii="Arial" w:eastAsia="MS Gothic" w:hAnsi="Arial" w:cs="Arial"/>
          <w:kern w:val="0"/>
          <w14:ligatures w14:val="none"/>
        </w:rPr>
        <w:t>v žádosti PZS uvede, jakou kapacitu je schopen zajistit nad minimální kapacitu</w:t>
      </w:r>
    </w:p>
    <w:bookmarkEnd w:id="0"/>
    <w:p w14:paraId="67E94746" w14:textId="77777777" w:rsidR="002743A3" w:rsidRPr="002743A3" w:rsidRDefault="002743A3" w:rsidP="00FE7247">
      <w:pPr>
        <w:pStyle w:val="Odstavecseseznamem"/>
        <w:keepNext/>
        <w:keepLines/>
        <w:numPr>
          <w:ilvl w:val="0"/>
          <w:numId w:val="9"/>
        </w:numPr>
        <w:spacing w:after="120" w:line="300" w:lineRule="exact"/>
        <w:ind w:left="284" w:hanging="284"/>
        <w:contextualSpacing w:val="0"/>
        <w:jc w:val="both"/>
        <w:outlineLvl w:val="0"/>
        <w:rPr>
          <w:rFonts w:ascii="Arial" w:eastAsia="MS Gothic" w:hAnsi="Arial" w:cs="Arial"/>
          <w:b/>
          <w:bCs/>
          <w:color w:val="7030A0"/>
          <w:kern w:val="0"/>
          <w14:ligatures w14:val="none"/>
        </w:rPr>
      </w:pPr>
      <w:r w:rsidRPr="002743A3">
        <w:rPr>
          <w:rFonts w:ascii="Arial" w:eastAsia="MS Gothic" w:hAnsi="Arial" w:cs="Arial"/>
          <w:b/>
          <w:bCs/>
          <w:color w:val="7030A0"/>
          <w:kern w:val="0"/>
          <w14:ligatures w14:val="none"/>
        </w:rPr>
        <w:t>Vyhodnocení pilotního provozu</w:t>
      </w:r>
    </w:p>
    <w:p w14:paraId="7B603226" w14:textId="77777777" w:rsidR="002743A3" w:rsidRPr="002743A3" w:rsidRDefault="002743A3" w:rsidP="00FE7247">
      <w:pPr>
        <w:spacing w:after="0"/>
        <w:rPr>
          <w:rFonts w:cs="Arial"/>
          <w:sz w:val="22"/>
        </w:rPr>
      </w:pPr>
      <w:r w:rsidRPr="002743A3">
        <w:rPr>
          <w:rFonts w:cs="Arial"/>
          <w:sz w:val="22"/>
        </w:rPr>
        <w:t xml:space="preserve">První vyhodnocení bude provedeno do 31. 10. 2026. </w:t>
      </w:r>
    </w:p>
    <w:p w14:paraId="3470E752" w14:textId="77777777" w:rsidR="002743A3" w:rsidRPr="002743A3" w:rsidRDefault="002743A3" w:rsidP="00FE7247">
      <w:pPr>
        <w:spacing w:after="0"/>
        <w:rPr>
          <w:rFonts w:cs="Arial"/>
          <w:sz w:val="22"/>
        </w:rPr>
      </w:pPr>
      <w:r w:rsidRPr="002743A3">
        <w:rPr>
          <w:rFonts w:cs="Arial"/>
          <w:sz w:val="22"/>
          <w:u w:val="single"/>
        </w:rPr>
        <w:t>Sleduje se</w:t>
      </w:r>
      <w:r w:rsidRPr="002743A3">
        <w:rPr>
          <w:rFonts w:cs="Arial"/>
          <w:sz w:val="22"/>
        </w:rPr>
        <w:t>:</w:t>
      </w:r>
    </w:p>
    <w:p w14:paraId="6A671705" w14:textId="77777777" w:rsidR="002743A3" w:rsidRPr="002743A3" w:rsidRDefault="002743A3" w:rsidP="00FE7247">
      <w:pPr>
        <w:pStyle w:val="Odstavecseseznamem"/>
        <w:numPr>
          <w:ilvl w:val="0"/>
          <w:numId w:val="8"/>
        </w:numPr>
        <w:spacing w:after="0" w:line="300" w:lineRule="exact"/>
        <w:jc w:val="both"/>
        <w:rPr>
          <w:rFonts w:ascii="Arial" w:hAnsi="Arial" w:cs="Arial"/>
        </w:rPr>
      </w:pPr>
      <w:r w:rsidRPr="002743A3">
        <w:rPr>
          <w:rFonts w:ascii="Arial" w:hAnsi="Arial" w:cs="Arial"/>
        </w:rPr>
        <w:t xml:space="preserve">počet zapojených poskytovatelů, </w:t>
      </w:r>
    </w:p>
    <w:p w14:paraId="0FEAF9AE" w14:textId="77777777" w:rsidR="002743A3" w:rsidRPr="002743A3" w:rsidRDefault="002743A3" w:rsidP="00FE7247">
      <w:pPr>
        <w:pStyle w:val="Odstavecseseznamem"/>
        <w:numPr>
          <w:ilvl w:val="0"/>
          <w:numId w:val="8"/>
        </w:numPr>
        <w:spacing w:after="0" w:line="300" w:lineRule="exact"/>
        <w:jc w:val="both"/>
        <w:rPr>
          <w:rFonts w:ascii="Arial" w:hAnsi="Arial" w:cs="Arial"/>
        </w:rPr>
      </w:pPr>
      <w:r w:rsidRPr="002743A3">
        <w:rPr>
          <w:rFonts w:ascii="Arial" w:hAnsi="Arial" w:cs="Arial"/>
        </w:rPr>
        <w:t xml:space="preserve">rozsah a časová struktura výkonů, </w:t>
      </w:r>
    </w:p>
    <w:p w14:paraId="44793A0A" w14:textId="77777777" w:rsidR="002743A3" w:rsidRPr="002743A3" w:rsidRDefault="002743A3" w:rsidP="00FE7247">
      <w:pPr>
        <w:pStyle w:val="Odstavecseseznamem"/>
        <w:numPr>
          <w:ilvl w:val="0"/>
          <w:numId w:val="8"/>
        </w:numPr>
        <w:spacing w:after="0" w:line="300" w:lineRule="exact"/>
        <w:jc w:val="both"/>
        <w:rPr>
          <w:rFonts w:ascii="Arial" w:hAnsi="Arial" w:cs="Arial"/>
        </w:rPr>
      </w:pPr>
      <w:r w:rsidRPr="002743A3">
        <w:rPr>
          <w:rFonts w:ascii="Arial" w:hAnsi="Arial" w:cs="Arial"/>
        </w:rPr>
        <w:t>rovnoměrnost čerpání péče mezi kraji a adekvátnost stanovených úhrad</w:t>
      </w:r>
    </w:p>
    <w:p w14:paraId="79B46374" w14:textId="77777777" w:rsidR="002743A3" w:rsidRPr="002743A3" w:rsidRDefault="002743A3" w:rsidP="00FE7247">
      <w:pPr>
        <w:pStyle w:val="Odstavecseseznamem"/>
        <w:spacing w:after="0" w:line="300" w:lineRule="exact"/>
        <w:ind w:left="0"/>
        <w:contextualSpacing w:val="0"/>
        <w:jc w:val="both"/>
        <w:rPr>
          <w:rFonts w:ascii="Arial" w:hAnsi="Arial" w:cs="Arial"/>
        </w:rPr>
      </w:pPr>
      <w:r w:rsidRPr="002743A3">
        <w:rPr>
          <w:rFonts w:ascii="Arial" w:hAnsi="Arial" w:cs="Arial"/>
        </w:rPr>
        <w:t xml:space="preserve"> </w:t>
      </w:r>
    </w:p>
    <w:p w14:paraId="18584078" w14:textId="77777777" w:rsidR="002743A3" w:rsidRPr="002743A3" w:rsidRDefault="002743A3" w:rsidP="00FE7247">
      <w:pPr>
        <w:pStyle w:val="Odstavecseseznamem"/>
        <w:spacing w:after="0" w:line="300" w:lineRule="exact"/>
        <w:ind w:left="0"/>
        <w:contextualSpacing w:val="0"/>
        <w:jc w:val="both"/>
        <w:rPr>
          <w:rFonts w:ascii="Arial" w:eastAsia="MS Mincho" w:hAnsi="Arial" w:cs="Arial"/>
          <w:kern w:val="0"/>
          <w:lang w:val="en-US"/>
          <w14:ligatures w14:val="none"/>
        </w:rPr>
      </w:pPr>
      <w:r w:rsidRPr="002743A3">
        <w:rPr>
          <w:rFonts w:ascii="Arial" w:hAnsi="Arial" w:cs="Arial"/>
        </w:rPr>
        <w:t>Výsledky budou využity pro případné trvalé začlenění této péče do úhradového systému.</w:t>
      </w:r>
    </w:p>
    <w:p w14:paraId="5E71E4F6" w14:textId="09452249" w:rsidR="00A1365C" w:rsidRPr="002743A3" w:rsidRDefault="00A1365C" w:rsidP="00FE7247">
      <w:pPr>
        <w:jc w:val="left"/>
        <w:rPr>
          <w:rStyle w:val="zpat-nadpisy"/>
          <w:rFonts w:cs="Arial"/>
          <w:sz w:val="22"/>
        </w:rPr>
      </w:pPr>
    </w:p>
    <w:p w14:paraId="18DBC0ED" w14:textId="4DA8615E" w:rsidR="00A1365C" w:rsidRPr="002743A3" w:rsidRDefault="00A1365C" w:rsidP="00FE7247">
      <w:pPr>
        <w:jc w:val="left"/>
        <w:rPr>
          <w:rStyle w:val="zpat-nadpisy"/>
          <w:rFonts w:cs="Arial"/>
          <w:sz w:val="22"/>
        </w:rPr>
      </w:pPr>
    </w:p>
    <w:p w14:paraId="4184F89F" w14:textId="77777777" w:rsidR="00A1365C" w:rsidRPr="002743A3" w:rsidRDefault="00A1365C" w:rsidP="00FE7247">
      <w:pPr>
        <w:jc w:val="left"/>
        <w:rPr>
          <w:rStyle w:val="zpat-nadpisy"/>
          <w:rFonts w:cs="Arial"/>
          <w:sz w:val="22"/>
        </w:rPr>
      </w:pPr>
    </w:p>
    <w:p w14:paraId="2542D244" w14:textId="77777777" w:rsidR="00A1365C" w:rsidRPr="002743A3" w:rsidRDefault="00A1365C" w:rsidP="00FE7247">
      <w:pPr>
        <w:jc w:val="left"/>
        <w:rPr>
          <w:rStyle w:val="zpat-nadpisy"/>
          <w:rFonts w:cs="Arial"/>
          <w:sz w:val="22"/>
        </w:rPr>
      </w:pPr>
    </w:p>
    <w:p w14:paraId="0F8940C4" w14:textId="77777777" w:rsidR="00A1365C" w:rsidRPr="002743A3" w:rsidRDefault="00A1365C" w:rsidP="00FE7247">
      <w:pPr>
        <w:jc w:val="left"/>
        <w:rPr>
          <w:rStyle w:val="zpat-nadpisy"/>
          <w:rFonts w:cs="Arial"/>
          <w:sz w:val="22"/>
        </w:rPr>
      </w:pPr>
    </w:p>
    <w:p w14:paraId="1F864C50" w14:textId="77777777" w:rsidR="00A1365C" w:rsidRPr="002743A3" w:rsidRDefault="00A1365C" w:rsidP="00FE7247">
      <w:pPr>
        <w:jc w:val="left"/>
        <w:rPr>
          <w:rStyle w:val="zpat-nadpisy"/>
          <w:rFonts w:cs="Arial"/>
          <w:sz w:val="22"/>
        </w:rPr>
      </w:pPr>
    </w:p>
    <w:p w14:paraId="39559C2A" w14:textId="77777777" w:rsidR="00A1365C" w:rsidRPr="002743A3" w:rsidRDefault="00A1365C" w:rsidP="00FE7247">
      <w:pPr>
        <w:jc w:val="left"/>
        <w:rPr>
          <w:rStyle w:val="zpat-nadpisy"/>
          <w:rFonts w:cs="Arial"/>
          <w:sz w:val="22"/>
        </w:rPr>
      </w:pPr>
    </w:p>
    <w:p w14:paraId="5269A116" w14:textId="77777777" w:rsidR="00A1365C" w:rsidRPr="002743A3" w:rsidRDefault="00A1365C" w:rsidP="00FE7247">
      <w:pPr>
        <w:jc w:val="left"/>
        <w:rPr>
          <w:rStyle w:val="zpat-nadpisy"/>
          <w:rFonts w:cs="Arial"/>
          <w:sz w:val="22"/>
        </w:rPr>
      </w:pPr>
    </w:p>
    <w:p w14:paraId="7E2A59DF" w14:textId="4B34D039" w:rsidR="00A1365C" w:rsidRPr="002743A3" w:rsidRDefault="00A1365C" w:rsidP="00626783">
      <w:pPr>
        <w:jc w:val="left"/>
        <w:rPr>
          <w:rStyle w:val="zpat-nadpisy"/>
          <w:rFonts w:cs="Arial"/>
          <w:sz w:val="22"/>
        </w:rPr>
      </w:pPr>
    </w:p>
    <w:sectPr w:rsidR="00A1365C" w:rsidRPr="002743A3" w:rsidSect="002743A3">
      <w:headerReference w:type="default" r:id="rId8"/>
      <w:footerReference w:type="default" r:id="rId9"/>
      <w:pgSz w:w="11906" w:h="16838"/>
      <w:pgMar w:top="993" w:right="1134" w:bottom="73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151A6" w14:textId="77777777" w:rsidR="00A1365C" w:rsidRDefault="00A1365C" w:rsidP="00D822D4">
      <w:pPr>
        <w:spacing w:after="0" w:line="240" w:lineRule="auto"/>
      </w:pPr>
      <w:r>
        <w:separator/>
      </w:r>
    </w:p>
  </w:endnote>
  <w:endnote w:type="continuationSeparator" w:id="0">
    <w:p w14:paraId="37AA377D" w14:textId="77777777" w:rsidR="00A1365C" w:rsidRDefault="00A1365C" w:rsidP="00D82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2B729" w14:textId="77777777" w:rsidR="00AB4192" w:rsidRDefault="0096212B" w:rsidP="00096FBA">
    <w:pPr>
      <w:pStyle w:val="Zpat"/>
      <w:jc w:val="right"/>
    </w:pPr>
    <w:r>
      <w:rPr>
        <w:noProof/>
        <w:lang w:eastAsia="cs-CZ"/>
      </w:rPr>
      <w:drawing>
        <wp:inline distT="0" distB="0" distL="0" distR="0" wp14:anchorId="30298BF4" wp14:editId="44EACE95">
          <wp:extent cx="6120130" cy="542290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_bar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4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F314C" w14:textId="77777777" w:rsidR="00A1365C" w:rsidRDefault="00A1365C" w:rsidP="00D822D4">
      <w:pPr>
        <w:spacing w:after="0" w:line="240" w:lineRule="auto"/>
      </w:pPr>
      <w:r>
        <w:separator/>
      </w:r>
    </w:p>
  </w:footnote>
  <w:footnote w:type="continuationSeparator" w:id="0">
    <w:p w14:paraId="2D0B0060" w14:textId="77777777" w:rsidR="00A1365C" w:rsidRDefault="00A1365C" w:rsidP="00D82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7046B" w14:textId="77777777" w:rsidR="00D822D4" w:rsidRDefault="00EC6726" w:rsidP="00AE5C36">
    <w:pPr>
      <w:pStyle w:val="Zhlav"/>
      <w:tabs>
        <w:tab w:val="left" w:pos="1560"/>
      </w:tabs>
    </w:pPr>
    <w:r>
      <w:rPr>
        <w:noProof/>
        <w:lang w:eastAsia="cs-CZ"/>
      </w:rPr>
      <w:drawing>
        <wp:inline distT="0" distB="0" distL="0" distR="0" wp14:anchorId="1206463C" wp14:editId="15C13561">
          <wp:extent cx="3114675" cy="866775"/>
          <wp:effectExtent l="0" t="0" r="9525" b="9525"/>
          <wp:docPr id="7" name="Grafický 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zahlavi-krivky-ZPS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E6716"/>
    <w:multiLevelType w:val="hybridMultilevel"/>
    <w:tmpl w:val="FE60493A"/>
    <w:lvl w:ilvl="0" w:tplc="272E599A">
      <w:start w:val="1"/>
      <w:numFmt w:val="decimal"/>
      <w:lvlText w:val="%1."/>
      <w:lvlJc w:val="left"/>
      <w:pPr>
        <w:ind w:left="720" w:hanging="360"/>
      </w:pPr>
      <w:rPr>
        <w:b/>
        <w:bCs/>
        <w:color w:val="7030A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F17E2"/>
    <w:multiLevelType w:val="hybridMultilevel"/>
    <w:tmpl w:val="EC88D642"/>
    <w:lvl w:ilvl="0" w:tplc="B422F6E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B2AA7"/>
    <w:multiLevelType w:val="hybridMultilevel"/>
    <w:tmpl w:val="E94C9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9609D"/>
    <w:multiLevelType w:val="hybridMultilevel"/>
    <w:tmpl w:val="7FEE4354"/>
    <w:lvl w:ilvl="0" w:tplc="9AD8D4B6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92642"/>
    <w:multiLevelType w:val="hybridMultilevel"/>
    <w:tmpl w:val="D6EA843A"/>
    <w:lvl w:ilvl="0" w:tplc="9AD8D4B6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64086"/>
    <w:multiLevelType w:val="hybridMultilevel"/>
    <w:tmpl w:val="00DEAFCE"/>
    <w:lvl w:ilvl="0" w:tplc="4D40E9D4">
      <w:start w:val="443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D425AA"/>
    <w:multiLevelType w:val="hybridMultilevel"/>
    <w:tmpl w:val="2DA09E10"/>
    <w:lvl w:ilvl="0" w:tplc="9AD8D4B6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3543E"/>
    <w:multiLevelType w:val="hybridMultilevel"/>
    <w:tmpl w:val="C292EFEC"/>
    <w:lvl w:ilvl="0" w:tplc="9AD8D4B6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67A2D"/>
    <w:multiLevelType w:val="hybridMultilevel"/>
    <w:tmpl w:val="B73E787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B0757"/>
    <w:multiLevelType w:val="hybridMultilevel"/>
    <w:tmpl w:val="92926E52"/>
    <w:lvl w:ilvl="0" w:tplc="171AC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5C"/>
    <w:rsid w:val="0001236A"/>
    <w:rsid w:val="000172A4"/>
    <w:rsid w:val="000451EB"/>
    <w:rsid w:val="000803F2"/>
    <w:rsid w:val="00096FBA"/>
    <w:rsid w:val="000F2C90"/>
    <w:rsid w:val="00112FD4"/>
    <w:rsid w:val="001747A7"/>
    <w:rsid w:val="001B6935"/>
    <w:rsid w:val="001C210A"/>
    <w:rsid w:val="001F0306"/>
    <w:rsid w:val="00230D27"/>
    <w:rsid w:val="002743A3"/>
    <w:rsid w:val="002772AC"/>
    <w:rsid w:val="002D1840"/>
    <w:rsid w:val="00325C3B"/>
    <w:rsid w:val="00354F62"/>
    <w:rsid w:val="003C66B0"/>
    <w:rsid w:val="003F5C3B"/>
    <w:rsid w:val="00404158"/>
    <w:rsid w:val="00463DE7"/>
    <w:rsid w:val="0047431A"/>
    <w:rsid w:val="00483F9E"/>
    <w:rsid w:val="004B78EC"/>
    <w:rsid w:val="004C548D"/>
    <w:rsid w:val="004F475B"/>
    <w:rsid w:val="005542C9"/>
    <w:rsid w:val="005805E0"/>
    <w:rsid w:val="00603094"/>
    <w:rsid w:val="00611BA7"/>
    <w:rsid w:val="006262FB"/>
    <w:rsid w:val="00626783"/>
    <w:rsid w:val="0068202E"/>
    <w:rsid w:val="0070413C"/>
    <w:rsid w:val="00723119"/>
    <w:rsid w:val="0075009B"/>
    <w:rsid w:val="007E0B8D"/>
    <w:rsid w:val="0080407B"/>
    <w:rsid w:val="00842385"/>
    <w:rsid w:val="00856723"/>
    <w:rsid w:val="0086351A"/>
    <w:rsid w:val="00894EED"/>
    <w:rsid w:val="008C2E8B"/>
    <w:rsid w:val="0090389D"/>
    <w:rsid w:val="009401E1"/>
    <w:rsid w:val="00940221"/>
    <w:rsid w:val="009412FD"/>
    <w:rsid w:val="0096212B"/>
    <w:rsid w:val="00972755"/>
    <w:rsid w:val="00983E68"/>
    <w:rsid w:val="009F789D"/>
    <w:rsid w:val="00A1365C"/>
    <w:rsid w:val="00A16219"/>
    <w:rsid w:val="00A55D92"/>
    <w:rsid w:val="00A746FD"/>
    <w:rsid w:val="00AB4192"/>
    <w:rsid w:val="00AE5C36"/>
    <w:rsid w:val="00B07141"/>
    <w:rsid w:val="00B90087"/>
    <w:rsid w:val="00BD4263"/>
    <w:rsid w:val="00C028A0"/>
    <w:rsid w:val="00C13AD4"/>
    <w:rsid w:val="00C35E65"/>
    <w:rsid w:val="00C801D3"/>
    <w:rsid w:val="00CC2C33"/>
    <w:rsid w:val="00CF2A37"/>
    <w:rsid w:val="00D40AE7"/>
    <w:rsid w:val="00D81C76"/>
    <w:rsid w:val="00D822D4"/>
    <w:rsid w:val="00DD097F"/>
    <w:rsid w:val="00E6697D"/>
    <w:rsid w:val="00EB41B3"/>
    <w:rsid w:val="00EC0B07"/>
    <w:rsid w:val="00EC669F"/>
    <w:rsid w:val="00EC6726"/>
    <w:rsid w:val="00EF0BC5"/>
    <w:rsid w:val="00EF3AFD"/>
    <w:rsid w:val="00F10810"/>
    <w:rsid w:val="00F359A4"/>
    <w:rsid w:val="00F402DC"/>
    <w:rsid w:val="00F50441"/>
    <w:rsid w:val="00F55FFE"/>
    <w:rsid w:val="00F71446"/>
    <w:rsid w:val="00F84848"/>
    <w:rsid w:val="00FA593C"/>
    <w:rsid w:val="00FB2A37"/>
    <w:rsid w:val="00FD222E"/>
    <w:rsid w:val="00FD67C9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652364"/>
  <w15:docId w15:val="{FF803603-3152-4186-9889-AAFB6748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210A"/>
    <w:pPr>
      <w:spacing w:after="300" w:line="300" w:lineRule="exact"/>
      <w:jc w:val="both"/>
    </w:pPr>
    <w:rPr>
      <w:rFonts w:ascii="Arial" w:hAnsi="Arial"/>
      <w:sz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43A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2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22D4"/>
  </w:style>
  <w:style w:type="paragraph" w:styleId="Zpat">
    <w:name w:val="footer"/>
    <w:basedOn w:val="Normln"/>
    <w:link w:val="ZpatChar"/>
    <w:uiPriority w:val="99"/>
    <w:unhideWhenUsed/>
    <w:rsid w:val="00D82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22D4"/>
  </w:style>
  <w:style w:type="character" w:styleId="Hypertextovodkaz">
    <w:name w:val="Hyperlink"/>
    <w:basedOn w:val="Standardnpsmoodstavce"/>
    <w:uiPriority w:val="99"/>
    <w:unhideWhenUsed/>
    <w:rsid w:val="00463DE7"/>
    <w:rPr>
      <w:color w:val="0563C1" w:themeColor="hyperlink"/>
      <w:u w:val="single"/>
    </w:rPr>
  </w:style>
  <w:style w:type="paragraph" w:styleId="Adresanaoblku">
    <w:name w:val="envelope address"/>
    <w:basedOn w:val="Normln"/>
    <w:uiPriority w:val="99"/>
    <w:unhideWhenUsed/>
    <w:rsid w:val="00FD222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unhideWhenUsed/>
    <w:rsid w:val="00FD222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89D"/>
    <w:rPr>
      <w:rFonts w:ascii="Segoe UI" w:hAnsi="Segoe UI" w:cs="Segoe UI"/>
      <w:sz w:val="18"/>
      <w:szCs w:val="18"/>
    </w:rPr>
  </w:style>
  <w:style w:type="paragraph" w:styleId="Bezmezer">
    <w:name w:val="No Spacing"/>
    <w:aliases w:val="adresa"/>
    <w:basedOn w:val="Normln"/>
    <w:uiPriority w:val="1"/>
    <w:qFormat/>
    <w:rsid w:val="00972755"/>
    <w:pPr>
      <w:spacing w:after="0"/>
      <w:ind w:left="425"/>
    </w:pPr>
  </w:style>
  <w:style w:type="paragraph" w:customStyle="1" w:styleId="zhlav-nadpisy">
    <w:name w:val="záhlaví-nadpisy"/>
    <w:basedOn w:val="Normln"/>
    <w:qFormat/>
    <w:rsid w:val="005805E0"/>
    <w:pPr>
      <w:autoSpaceDE w:val="0"/>
      <w:autoSpaceDN w:val="0"/>
      <w:adjustRightInd w:val="0"/>
      <w:spacing w:after="0"/>
    </w:pPr>
    <w:rPr>
      <w:rFonts w:cs="Arial"/>
      <w:bCs/>
      <w:color w:val="747678"/>
      <w:sz w:val="16"/>
      <w:szCs w:val="16"/>
    </w:rPr>
  </w:style>
  <w:style w:type="paragraph" w:customStyle="1" w:styleId="zhlav-hodnoty">
    <w:name w:val="záhlaví-hodnoty"/>
    <w:basedOn w:val="Normln"/>
    <w:qFormat/>
    <w:rsid w:val="005805E0"/>
    <w:pPr>
      <w:spacing w:after="0"/>
    </w:pPr>
  </w:style>
  <w:style w:type="character" w:customStyle="1" w:styleId="fontstyle01">
    <w:name w:val="fontstyle01"/>
    <w:basedOn w:val="Standardnpsmoodstavce"/>
    <w:rsid w:val="000803F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zpat-nadpisy">
    <w:name w:val="zápatí-nadpisy"/>
    <w:basedOn w:val="Standardnpsmoodstavce"/>
    <w:uiPriority w:val="1"/>
    <w:qFormat/>
    <w:rsid w:val="00626783"/>
    <w:rPr>
      <w:color w:val="747678"/>
      <w:sz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743A3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2743A3"/>
    <w:pPr>
      <w:spacing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table" w:styleId="Mkatabulky">
    <w:name w:val="Table Grid"/>
    <w:basedOn w:val="Normlntabulka"/>
    <w:uiPriority w:val="39"/>
    <w:rsid w:val="002743A3"/>
    <w:pPr>
      <w:spacing w:after="0" w:line="240" w:lineRule="auto"/>
    </w:pPr>
    <w:rPr>
      <w:rFonts w:eastAsiaTheme="minorEastAsia"/>
      <w:kern w:val="2"/>
      <w:sz w:val="24"/>
      <w:szCs w:val="24"/>
      <w:lang w:val="en-US"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43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lavaco\AppData\Local\Temp\notes2B1BF3\Dopisa&#769;k%20ZPS&#780;%202019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2BA09-79BC-4B36-A59B-455A3B602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Dopisák ZPŠ 2019.dotx</Template>
  <TotalTime>3</TotalTime>
  <Pages>5</Pages>
  <Words>1237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Zaměstnanecká pojišťovna Škoda</Company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Hlaváčová Petra</dc:creator>
  <cp:lastModifiedBy>Řehořová, Lucie</cp:lastModifiedBy>
  <cp:revision>3</cp:revision>
  <cp:lastPrinted>2024-02-23T08:17:00Z</cp:lastPrinted>
  <dcterms:created xsi:type="dcterms:W3CDTF">2026-03-09T10:48:00Z</dcterms:created>
  <dcterms:modified xsi:type="dcterms:W3CDTF">2026-03-09T10:49:00Z</dcterms:modified>
</cp:coreProperties>
</file>